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72"/>
          <w14:textFill>
            <w14:solidFill>
              <w14:schemeClr w14:val="tx1"/>
            </w14:solidFill>
          </w14:textFill>
        </w:rPr>
      </w:r>
      <w:r/>
    </w:p>
    <w:p>
      <w:pPr>
        <w:jc w:val="center"/>
        <w:spacing w:line="360" w:lineRule="auto"/>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苏州市政府采购</w:t>
      </w:r>
      <w:r/>
    </w:p>
    <w:p>
      <w:pPr>
        <w:jc w:val="center"/>
        <w:spacing w:line="360" w:lineRule="auto"/>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招标文件</w:t>
      </w:r>
      <w:r/>
    </w:p>
    <w:p>
      <w:pPr>
        <w:pStyle w:val="679"/>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r>
      <w:r/>
    </w:p>
    <w:p>
      <w:pPr>
        <w:pStyle w:val="725"/>
        <w:rPr>
          <w:rFonts w:hint="eastAsia" w:ascii="宋体" w:hAnsi="宋体"/>
        </w:rPr>
      </w:pPr>
      <w:r>
        <w:rPr>
          <w:rFonts w:hint="eastAsia" w:ascii="宋体" w:hAnsi="宋体"/>
        </w:rPr>
      </w:r>
      <w:r/>
    </w:p>
    <w:p>
      <w:pPr>
        <w:jc w:val="center"/>
        <w:rPr>
          <w:rFonts w:hint="eastAsia" w:ascii="宋体" w:hAnsi="宋体" w:cs="宋体"/>
          <w:b/>
        </w:rPr>
      </w:pPr>
      <w:r>
        <w:rPr>
          <w:rFonts w:hint="eastAsia" w:ascii="宋体" w:hAnsi="宋体" w:cs="宋体"/>
        </w:rPr>
        <mc:AlternateContent>
          <mc:Choice Requires="wpg">
            <w:drawing>
              <wp:inline xmlns:wp="http://schemas.openxmlformats.org/drawingml/2006/wordprocessingDrawing" distT="0" distB="0" distL="0" distR="0">
                <wp:extent cx="1217930" cy="1236980"/>
                <wp:effectExtent l="0" t="0" r="1270" b="1270"/>
                <wp:docPr id="1" name="图片 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1"/>
                        <pic:cNvPicPr>
                          <a:picLocks noChangeAspect="1"/>
                        </pic:cNvPicPr>
                        <pic:nvPr/>
                      </pic:nvPicPr>
                      <pic:blipFill>
                        <a:blip r:embed="rId13"/>
                        <a:stretch/>
                      </pic:blipFill>
                      <pic:spPr bwMode="auto">
                        <a:xfrm>
                          <a:off x="0" y="0"/>
                          <a:ext cx="1217930"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5.9pt;height:97.4pt;mso-wrap-distance-left:0.0pt;mso-wrap-distance-top:0.0pt;mso-wrap-distance-right:0.0pt;mso-wrap-distance-bottom:0.0pt;" stroked="f">
                <v:path textboxrect="0,0,0,0"/>
                <v:imagedata r:id="rId13" o:title=""/>
              </v:shape>
            </w:pict>
          </mc:Fallback>
        </mc:AlternateContent>
      </w:r>
      <w:r>
        <w:rPr>
          <w:rFonts w:hint="eastAsia" w:ascii="宋体" w:hAnsi="宋体" w:cs="宋体"/>
          <w:b/>
        </w:rPr>
        <w:t xml:space="preserve"> </w:t>
      </w:r>
      <w:r/>
    </w:p>
    <w:p>
      <w:pPr>
        <w:spacing w:line="360" w:lineRule="auto"/>
        <w:rPr>
          <w:rFonts w:hint="eastAsia"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r>
      <w:r/>
    </w:p>
    <w:p>
      <w:pPr>
        <w:spacing w:line="360" w:lineRule="auto"/>
        <w:rPr>
          <w:rFonts w:hint="eastAsia"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r>
      <w:r/>
    </w:p>
    <w:p>
      <w:pPr>
        <w:ind w:firstLine="1928"/>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招标编号：</w:t>
      </w:r>
      <w:r>
        <w:rPr>
          <w:rFonts w:hint="eastAsia" w:ascii="宋体" w:hAnsi="宋体" w:cs="宋体"/>
          <w:b/>
          <w:color w:val="000000" w:themeColor="text1"/>
          <w:sz w:val="28"/>
          <w:szCs w:val="28"/>
          <w:lang w:eastAsia="zh-CN"/>
          <w14:textFill>
            <w14:solidFill>
              <w14:schemeClr w14:val="tx1"/>
            </w14:solidFill>
          </w14:textFill>
        </w:rPr>
        <w:t xml:space="preserve">JSZC-320506-SZCL-G2026-0003</w:t>
      </w:r>
      <w:r/>
    </w:p>
    <w:p>
      <w:pPr>
        <w:ind w:firstLine="1928"/>
        <w:spacing w:line="360" w:lineRule="auto"/>
        <w:rPr>
          <w:rFonts w:hint="eastAsia" w:ascii="宋体" w:hAnsi="宋体" w:cs="宋体"/>
          <w:b/>
          <w:sz w:val="28"/>
          <w:szCs w:val="28"/>
        </w:rPr>
      </w:pPr>
      <w:r>
        <w:rPr>
          <w:rFonts w:hint="eastAsia" w:ascii="宋体" w:hAnsi="宋体" w:cs="宋体"/>
          <w:b/>
          <w:sz w:val="28"/>
          <w:szCs w:val="28"/>
        </w:rPr>
        <w:t xml:space="preserve">采购单位：苏州吴文化博物馆</w:t>
      </w:r>
      <w:r/>
    </w:p>
    <w:p>
      <w:pPr>
        <w:ind w:firstLine="1928"/>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采购内容：</w:t>
      </w:r>
      <w:r>
        <w:rPr>
          <w:rFonts w:hint="eastAsia" w:ascii="宋体" w:hAnsi="宋体" w:cs="宋体"/>
          <w:b/>
          <w:sz w:val="28"/>
          <w:szCs w:val="28"/>
          <w:lang w:eastAsia="zh-CN"/>
        </w:rPr>
        <w:t xml:space="preserve">苏州吴文化博物馆库房文物预防性保护项目</w:t>
      </w:r>
      <w:r/>
    </w:p>
    <w:p>
      <w:pPr>
        <w:ind w:firstLine="1928"/>
        <w:spacing w:line="360" w:lineRule="auto"/>
        <w:rPr>
          <w:rFonts w:hint="eastAsia" w:ascii="宋体" w:hAnsi="宋体" w:cs="宋体"/>
          <w:b/>
          <w:sz w:val="28"/>
          <w:szCs w:val="28"/>
        </w:rPr>
      </w:pPr>
      <w:r>
        <w:rPr>
          <w:rFonts w:hint="eastAsia" w:ascii="宋体" w:hAnsi="宋体" w:cs="宋体"/>
          <w:b/>
          <w:sz w:val="28"/>
          <w:szCs w:val="28"/>
        </w:rPr>
        <w:t xml:space="preserve">采购类别：货物类</w:t>
      </w:r>
      <w:r/>
    </w:p>
    <w:p>
      <w:pPr>
        <w:jc w:val="center"/>
        <w:rPr>
          <w:rStyle w:val="1194"/>
          <w:rFonts w:hint="default" w:ascii="宋体" w:hAnsi="宋体" w:eastAsia="宋体" w:cs="宋体"/>
          <w:color w:val="auto"/>
        </w:rPr>
      </w:pPr>
      <w:r>
        <w:rPr>
          <w:rStyle w:val="1194"/>
          <w:rFonts w:ascii="宋体" w:hAnsi="宋体" w:eastAsia="宋体" w:cs="宋体"/>
          <w:color w:val="auto"/>
        </w:rPr>
        <w:t xml:space="preserve"> </w:t>
      </w:r>
      <w:r/>
    </w:p>
    <w:p>
      <w:pPr>
        <w:pStyle w:val="679"/>
        <w:rPr>
          <w:rStyle w:val="1194"/>
          <w:rFonts w:hint="default" w:ascii="宋体" w:hAnsi="宋体" w:eastAsia="宋体" w:cs="宋体"/>
          <w:color w:val="auto"/>
        </w:rPr>
      </w:pPr>
      <w:r>
        <w:rPr>
          <w:rFonts w:hint="default" w:ascii="宋体" w:hAnsi="宋体" w:eastAsia="宋体" w:cs="宋体"/>
          <w:color w:val="auto"/>
        </w:rPr>
      </w:r>
      <w:r/>
    </w:p>
    <w:p>
      <w:pPr>
        <w:pStyle w:val="679"/>
        <w:rPr>
          <w:rStyle w:val="1194"/>
          <w:rFonts w:hint="default" w:ascii="宋体" w:hAnsi="宋体" w:eastAsia="宋体" w:cs="宋体"/>
          <w:color w:val="auto"/>
        </w:rPr>
      </w:pPr>
      <w:r>
        <w:rPr>
          <w:rFonts w:hint="default" w:ascii="宋体" w:hAnsi="宋体" w:eastAsia="宋体" w:cs="宋体"/>
          <w:color w:val="auto"/>
        </w:rPr>
      </w:r>
      <w:r/>
    </w:p>
    <w:p>
      <w:pPr>
        <w:pStyle w:val="725"/>
        <w:rPr>
          <w:rStyle w:val="1194"/>
          <w:rFonts w:hint="default" w:ascii="宋体" w:hAnsi="宋体" w:eastAsia="宋体"/>
          <w:color w:val="auto"/>
        </w:rPr>
      </w:pPr>
      <w:r>
        <w:rPr>
          <w:rFonts w:hint="default" w:ascii="宋体" w:hAnsi="宋体" w:eastAsia="宋体"/>
          <w:color w:val="auto"/>
        </w:rPr>
      </w:r>
      <w:r/>
    </w:p>
    <w:p>
      <w:pPr>
        <w:pStyle w:val="680"/>
        <w:rPr>
          <w:rStyle w:val="1194"/>
          <w:rFonts w:hint="default" w:ascii="宋体" w:hAnsi="宋体" w:eastAsia="宋体" w:cs="宋体"/>
          <w:color w:val="auto"/>
        </w:rPr>
      </w:pPr>
      <w:r>
        <w:rPr>
          <w:rFonts w:hint="default" w:ascii="宋体" w:hAnsi="宋体" w:eastAsia="宋体" w:cs="宋体"/>
          <w:color w:val="auto"/>
        </w:rPr>
      </w:r>
      <w:r/>
    </w:p>
    <w:p>
      <w:pPr>
        <w:pStyle w:val="680"/>
        <w:rPr>
          <w:rStyle w:val="1194"/>
          <w:rFonts w:hint="default" w:ascii="宋体" w:hAnsi="宋体" w:eastAsia="宋体" w:cs="宋体"/>
          <w:color w:val="auto"/>
        </w:rPr>
      </w:pPr>
      <w:r>
        <w:rPr>
          <w:rFonts w:hint="default" w:ascii="宋体" w:hAnsi="宋体" w:eastAsia="宋体" w:cs="宋体"/>
          <w:color w:val="auto"/>
        </w:rPr>
      </w:r>
      <w:r/>
    </w:p>
    <w:p>
      <w:pPr>
        <w:pStyle w:val="763"/>
        <w:ind w:firstLine="402"/>
        <w:rPr>
          <w:rStyle w:val="1194"/>
          <w:rFonts w:hint="default" w:ascii="宋体" w:hAnsi="宋体" w:eastAsia="宋体" w:cs="宋体"/>
          <w:color w:val="auto"/>
        </w:rPr>
      </w:pPr>
      <w:r>
        <w:rPr>
          <w:rStyle w:val="1194"/>
          <w:rFonts w:ascii="宋体" w:hAnsi="宋体" w:eastAsia="宋体" w:cs="宋体"/>
          <w:color w:val="auto"/>
        </w:rPr>
        <w:t xml:space="preserve"> </w:t>
      </w:r>
      <w:r/>
    </w:p>
    <w:p>
      <w:pPr>
        <w:jc w:val="center"/>
        <w:rPr>
          <w:rFonts w:hint="eastAsia" w:ascii="宋体" w:hAnsi="宋体" w:cs="宋体"/>
          <w:b/>
          <w:sz w:val="28"/>
          <w:szCs w:val="28"/>
        </w:rPr>
      </w:pPr>
      <w:r>
        <w:rPr>
          <w:rFonts w:hint="eastAsia" w:ascii="宋体" w:hAnsi="宋体" w:cs="宋体"/>
          <w:b/>
          <w:sz w:val="28"/>
          <w:szCs w:val="28"/>
        </w:rPr>
        <w:t xml:space="preserve">苏州诚联招投标咨询服务有限公司</w:t>
      </w:r>
      <w:r/>
    </w:p>
    <w:p>
      <w:pPr>
        <w:jc w:val="center"/>
        <w:rPr>
          <w:rFonts w:hint="eastAsia" w:ascii="宋体" w:hAnsi="宋体" w:cs="宋体"/>
          <w:sz w:val="28"/>
          <w:szCs w:val="28"/>
        </w:rPr>
      </w:pPr>
      <w:r>
        <w:rPr>
          <w:rFonts w:hint="eastAsia" w:ascii="宋体" w:hAnsi="宋体" w:cs="宋体"/>
          <w:b/>
          <w:sz w:val="28"/>
          <w:szCs w:val="28"/>
        </w:rPr>
        <w:t xml:space="preserve">二零二六年</w:t>
      </w:r>
      <w:r/>
    </w:p>
    <w:p>
      <w:pPr>
        <w:pStyle w:val="67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67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目    录</w:t>
      </w:r>
      <w:r/>
    </w:p>
    <w:p>
      <w:p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ind w:firstLine="640"/>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招标公告</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投标人须知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投标文件格式</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采购需求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合同文本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评标办法及评分标准　</w:t>
      </w:r>
      <w:r/>
    </w:p>
    <w:p>
      <w:pPr>
        <w:pStyle w:val="689"/>
        <w:numPr>
          <w:ilvl w:val="0"/>
          <w:numId w:val="2"/>
        </w:numPr>
        <w:ind w:hanging="1877"/>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pacing w:val="20"/>
          <w:sz w:val="32"/>
          <w:szCs w:val="32"/>
          <w14:textFill>
            <w14:solidFill>
              <w14:schemeClr w14:val="tx1"/>
            </w14:solidFill>
          </w14:textFill>
        </w:rPr>
        <w:br w:type="page" w:clear="all"/>
      </w:r>
      <w:r>
        <w:rPr>
          <w:rFonts w:hint="eastAsia" w:ascii="宋体" w:hAnsi="宋体" w:cs="宋体"/>
          <w:bCs/>
          <w:color w:val="000000" w:themeColor="text1"/>
          <w:sz w:val="44"/>
          <w:szCs w:val="44"/>
          <w14:textFill>
            <w14:solidFill>
              <w14:schemeClr w14:val="tx1"/>
            </w14:solidFill>
          </w14:textFill>
        </w:rPr>
        <w:t xml:space="preserve">招标公告</w:t>
      </w:r>
      <w:r/>
    </w:p>
    <w:p>
      <w:pPr>
        <w:pStyle w:val="689"/>
        <w:ind w:left="602"/>
        <w:jc w:val="center"/>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r>
      <w:r/>
    </w:p>
    <w:tbl>
      <w:tblPr>
        <w:tblStyle w:val="6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项目概况：</w:t>
            </w:r>
            <w:r/>
          </w:p>
          <w:p>
            <w:pPr>
              <w:ind w:left="105" w:firstLine="3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u w:val="single"/>
                <w:lang w:eastAsia="zh-CN"/>
                <w14:textFill>
                  <w14:solidFill>
                    <w14:schemeClr w14:val="tx1"/>
                  </w14:solidFill>
                </w14:textFill>
              </w:rPr>
              <w:t xml:space="preserve">苏州吴文化博物馆库房文物预防性保护项目</w:t>
            </w:r>
            <w:r>
              <w:rPr>
                <w:rFonts w:hint="eastAsia" w:ascii="宋体" w:hAnsi="宋体" w:cs="宋体"/>
                <w:color w:val="000000" w:themeColor="text1"/>
                <w:szCs w:val="21"/>
                <w14:textFill>
                  <w14:solidFill>
                    <w14:schemeClr w14:val="tx1"/>
                  </w14:solidFill>
                </w14:textFill>
              </w:rPr>
              <w:t xml:space="preserve">的潜在投标人应在</w:t>
            </w:r>
            <w:r>
              <w:rPr>
                <w:rFonts w:hint="eastAsia" w:ascii="宋体" w:hAnsi="宋体" w:cs="宋体"/>
                <w:color w:val="000000" w:themeColor="text1"/>
                <w14:textFill>
                  <w14:solidFill>
                    <w14:schemeClr w14:val="tx1"/>
                  </w14:solidFill>
                </w14:textFill>
              </w:rPr>
              <w:t xml:space="preserve">江苏省政府采购一体化平台“苏采云”系统自行免费下载</w:t>
            </w:r>
            <w:r>
              <w:rPr>
                <w:rFonts w:hint="eastAsia" w:ascii="宋体" w:hAnsi="宋体" w:cs="宋体"/>
                <w:color w:val="000000" w:themeColor="text1"/>
                <w:szCs w:val="21"/>
                <w14:textFill>
                  <w14:solidFill>
                    <w14:schemeClr w14:val="tx1"/>
                  </w14:solidFill>
                </w14:textFill>
              </w:rPr>
              <w:t xml:space="preserve">招标文件，并于</w:t>
            </w:r>
            <w:r>
              <w:rPr>
                <w:rFonts w:hint="eastAsia" w:ascii="宋体" w:hAnsi="宋体" w:cs="宋体"/>
                <w:color w:val="000000" w:themeColor="text1"/>
                <w:szCs w:val="21"/>
                <w:u w:val="single"/>
                <w14:textFill>
                  <w14:solidFill>
                    <w14:schemeClr w14:val="tx1"/>
                  </w14:solidFill>
                </w14:textFill>
              </w:rPr>
              <w:t xml:space="preserve">2026年8月2</w:t>
            </w:r>
            <w:r>
              <w:rPr>
                <w:rFonts w:hint="eastAsia" w:ascii="宋体" w:hAnsi="宋体" w:cs="宋体"/>
                <w:color w:val="000000" w:themeColor="text1"/>
                <w:szCs w:val="21"/>
                <w:u w:val="single"/>
                <w:lang w:val="en-US" w:eastAsia="zh-CN"/>
                <w14:textFill>
                  <w14:solidFill>
                    <w14:schemeClr w14:val="tx1"/>
                  </w14:solidFill>
                </w14:textFill>
              </w:rPr>
              <w:t xml:space="preserve">7</w:t>
            </w:r>
            <w:r>
              <w:rPr>
                <w:rFonts w:hint="eastAsia" w:ascii="宋体" w:hAnsi="宋体" w:cs="宋体"/>
                <w:color w:val="000000" w:themeColor="text1"/>
                <w:szCs w:val="21"/>
                <w:u w:val="single"/>
                <w14:textFill>
                  <w14:solidFill>
                    <w14:schemeClr w14:val="tx1"/>
                  </w14:solidFill>
                </w14:textFill>
              </w:rPr>
              <w:t xml:space="preserve">日13点30分</w:t>
            </w:r>
            <w:r>
              <w:rPr>
                <w:rFonts w:hint="eastAsia" w:ascii="宋体" w:hAnsi="宋体" w:cs="宋体"/>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一、项目基本情况</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项目编号：</w:t>
      </w:r>
      <w:r>
        <w:rPr>
          <w:rFonts w:hint="eastAsia" w:ascii="宋体" w:hAnsi="宋体" w:cs="宋体"/>
          <w:bCs/>
          <w:szCs w:val="21"/>
          <w:lang w:eastAsia="zh-CN"/>
        </w:rPr>
        <w:t xml:space="preserve">JSZC-320506-SZCL-G2026-0003</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bCs/>
          <w:szCs w:val="21"/>
          <w:lang w:eastAsia="zh-CN"/>
        </w:rPr>
        <w:t xml:space="preserve">苏州吴文化博物馆库房文物预防性保护项目</w:t>
      </w:r>
      <w:r/>
    </w:p>
    <w:p>
      <w:pPr>
        <w:ind w:firstLine="420"/>
        <w:spacing w:line="360" w:lineRule="auto"/>
        <w:rPr>
          <w:rFonts w:hint="eastAsia" w:ascii="宋体" w:hAnsi="宋体" w:cs="宋体"/>
          <w:szCs w:val="21"/>
        </w:rPr>
      </w:pPr>
      <w:r>
        <w:rPr>
          <w:rFonts w:hint="eastAsia" w:ascii="宋体" w:hAnsi="宋体" w:cs="宋体"/>
          <w:szCs w:val="21"/>
        </w:rPr>
        <w:t xml:space="preserve">预算金额：人民币</w:t>
      </w:r>
      <w:r>
        <w:rPr>
          <w:rFonts w:hint="eastAsia" w:ascii="宋体" w:hAnsi="宋体" w:cs="宋体"/>
        </w:rPr>
        <w:t xml:space="preserve">贰佰万元整（</w:t>
      </w:r>
      <w:r>
        <w:rPr>
          <w:rFonts w:hint="default" w:ascii="Arial" w:hAnsi="Arial" w:cs="Arial"/>
        </w:rPr>
        <w:t xml:space="preserve">¥</w:t>
      </w:r>
      <w:r>
        <w:rPr>
          <w:rFonts w:hint="eastAsia" w:ascii="宋体" w:hAnsi="宋体" w:cs="宋体"/>
        </w:rPr>
        <w:t xml:space="preserve">2000000.00）</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rPr>
        <w:t xml:space="preserve">贰佰万元整（</w:t>
      </w:r>
      <w:r>
        <w:rPr>
          <w:rFonts w:hint="default" w:ascii="Arial" w:hAnsi="Arial" w:cs="Arial"/>
        </w:rPr>
        <w:t xml:space="preserve">¥</w:t>
      </w:r>
      <w:r>
        <w:rPr>
          <w:rFonts w:hint="eastAsia" w:ascii="宋体" w:hAnsi="宋体" w:cs="宋体"/>
        </w:rPr>
        <w:t xml:space="preserve">2000000.00）</w:t>
      </w:r>
      <w:r/>
    </w:p>
    <w:p>
      <w:pPr>
        <w:ind w:firstLine="420"/>
        <w:spacing w:line="360" w:lineRule="auto"/>
        <w:rPr>
          <w:rFonts w:hint="eastAsia" w:ascii="宋体" w:hAnsi="宋体" w:cs="宋体"/>
          <w:szCs w:val="21"/>
        </w:rPr>
      </w:pPr>
      <w:r>
        <w:rPr>
          <w:rFonts w:hint="eastAsia" w:ascii="宋体" w:hAnsi="宋体" w:cs="宋体"/>
          <w:szCs w:val="21"/>
        </w:rPr>
        <w:t xml:space="preserve">采购需求：具体采购需求详见招标文件第四章。</w:t>
      </w:r>
      <w:r/>
    </w:p>
    <w:p>
      <w:pPr>
        <w:pStyle w:val="763"/>
        <w:ind w:firstLine="420"/>
        <w:spacing w:line="360" w:lineRule="auto"/>
        <w:rPr>
          <w:rFonts w:hint="eastAsia" w:hAnsi="宋体" w:cs="宋体"/>
        </w:rPr>
      </w:pPr>
      <w:r>
        <w:rPr>
          <w:rFonts w:hint="eastAsia" w:hAnsi="宋体" w:cs="宋体"/>
          <w:szCs w:val="21"/>
        </w:rPr>
        <w:t xml:space="preserve">合同履行期限：合同签订之日起3个月内完成交货、安装及调试。（具体根据采购单位要求为准）。</w:t>
      </w:r>
      <w:r/>
    </w:p>
    <w:p>
      <w:pPr>
        <w:ind w:firstLine="420"/>
        <w:spacing w:line="360" w:lineRule="auto"/>
        <w:rPr>
          <w:rFonts w:hint="eastAsia" w:ascii="宋体" w:hAnsi="宋体" w:cs="宋体"/>
          <w:i w:val="0"/>
          <w:iCs w:val="0"/>
          <w:szCs w:val="21"/>
        </w:rPr>
      </w:pPr>
      <w:r>
        <w:rPr>
          <w:rFonts w:hint="eastAsia" w:ascii="宋体" w:hAnsi="宋体" w:cs="宋体"/>
          <w:i w:val="0"/>
          <w:iCs w:val="0"/>
          <w:szCs w:val="21"/>
        </w:rPr>
        <w:t xml:space="preserve">本项目不接受联合体投标。</w:t>
      </w:r>
      <w:r/>
    </w:p>
    <w:p>
      <w:pPr>
        <w:ind w:firstLine="420"/>
        <w:spacing w:line="360" w:lineRule="auto"/>
        <w:rPr>
          <w:rFonts w:hint="eastAsia" w:ascii="宋体" w:hAnsi="宋体" w:cs="宋体"/>
          <w:i w:val="0"/>
          <w:iCs w:val="0"/>
          <w:szCs w:val="21"/>
        </w:rPr>
      </w:pPr>
      <w:r>
        <w:rPr>
          <w:rFonts w:hint="eastAsia" w:ascii="宋体" w:hAnsi="宋体" w:cs="宋体"/>
          <w:i w:val="0"/>
          <w:iCs w:val="0"/>
          <w:szCs w:val="21"/>
        </w:rPr>
        <w:t xml:space="preserve">本项目不接受进口产品。</w:t>
      </w:r>
      <w:r/>
    </w:p>
    <w:p>
      <w:pPr>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 </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(1)本项目</w:t>
      </w:r>
      <w:r>
        <w:rPr>
          <w:rFonts w:hint="eastAsia" w:ascii="宋体" w:hAnsi="宋体" w:cs="宋体"/>
          <w:szCs w:val="21"/>
          <w:u w:val="single"/>
        </w:rPr>
        <w:t xml:space="preserve">专门面向中小企业</w:t>
      </w:r>
      <w:r>
        <w:rPr>
          <w:rFonts w:hint="eastAsia" w:ascii="宋体" w:hAnsi="宋体" w:cs="宋体"/>
          <w:szCs w:val="21"/>
        </w:rPr>
        <w:t xml:space="preserve">，所属行业为</w:t>
      </w:r>
      <w:r>
        <w:rPr>
          <w:rFonts w:hint="eastAsia" w:ascii="宋体" w:hAnsi="宋体" w:cs="宋体"/>
          <w:szCs w:val="21"/>
          <w:u w:val="single"/>
        </w:rPr>
        <w:t xml:space="preserve">工业</w:t>
      </w:r>
      <w:r>
        <w:rPr>
          <w:rFonts w:hint="eastAsia" w:ascii="宋体" w:hAnsi="宋体" w:cs="宋体"/>
          <w:szCs w:val="21"/>
        </w:rPr>
        <w:t xml:space="preserve">，供应商应为中小微企业或监狱企业或残疾人福利性单位。</w:t>
      </w:r>
      <w:r/>
    </w:p>
    <w:p>
      <w:pPr>
        <w:ind w:firstLine="420"/>
        <w:spacing w:line="360" w:lineRule="auto"/>
      </w:pPr>
      <w:r>
        <w:rPr>
          <w:rFonts w:hint="eastAsia" w:ascii="宋体" w:hAnsi="宋体" w:cs="宋体"/>
          <w:szCs w:val="21"/>
        </w:rPr>
        <w:t xml:space="preserve">3、本项目的特定资格要求：无。</w:t>
      </w:r>
      <w:r/>
    </w:p>
    <w:p>
      <w:pPr>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三、获取招标文件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1、时间：</w:t>
      </w:r>
      <w:r>
        <w:rPr>
          <w:rFonts w:ascii="宋体" w:hAnsi="宋体" w:cs="宋体"/>
          <w:szCs w:val="21"/>
        </w:rPr>
        <w:t xml:space="preserve">自</w:t>
      </w:r>
      <w:r>
        <w:rPr>
          <w:rFonts w:hint="eastAsia" w:ascii="宋体" w:hAnsi="宋体" w:cs="宋体"/>
          <w:szCs w:val="21"/>
        </w:rPr>
        <w:t xml:space="preserve">招标文件</w:t>
      </w:r>
      <w:r>
        <w:rPr>
          <w:rFonts w:ascii="宋体" w:hAnsi="宋体" w:cs="宋体"/>
          <w:szCs w:val="21"/>
        </w:rPr>
        <w:t xml:space="preserve">公告发布之日起5个工作日</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2、地点：江苏省政府采购一体化平台“苏采云”系统</w:t>
      </w:r>
      <w:r>
        <w:rPr>
          <w:rFonts w:hint="eastAsia" w:ascii="宋体" w:hAnsi="宋体" w:cs="宋体"/>
        </w:rPr>
        <w:t xml:space="preserve">自行免费下载</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3、方式：（1）CA办理</w:t>
      </w:r>
      <w:r/>
    </w:p>
    <w:p>
      <w:pPr>
        <w:ind w:firstLine="420"/>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000000" w:themeColor="text1"/>
          <w:szCs w:val="21"/>
          <w14:textFill>
            <w14:solidFill>
              <w14:schemeClr w14:val="tx1"/>
            </w14:solidFill>
          </w14:textFill>
        </w:rPr>
        <w:t xml:space="preserve">“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（2）依法获取采购文件</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考虑到熟悉“苏采云”系统、办理CA证书都需要一定的时间，请提早准备以免耽误招标采购活动。</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szCs w:val="21"/>
        </w:rPr>
        <w:t xml:space="preserve">更正（补充）公告及附件的获取：供应商应及时关注政府采购信息发布媒体上发布的更正（补充）公告，同时在“苏采云”系统中下载更正（补充）资料，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如有遗漏（包括但不限于文件未下载或下载不完整），可能无法解密投标（响应）文件，由此所造成的响应失败或损失由供应商自行负责。</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四、提交投标文件截止时间、开标时间和地点</w:t>
      </w:r>
      <w:r/>
    </w:p>
    <w:p>
      <w:pPr>
        <w:ind w:firstLine="420"/>
        <w:jc w:val="left"/>
        <w:spacing w:line="360" w:lineRule="auto"/>
        <w:shd w:val="clear" w:color="auto" w:fill="ffffff"/>
        <w:widowControl/>
        <w:rPr>
          <w:rFonts w:hint="eastAsia" w:ascii="宋体" w:hAnsi="宋体" w:cs="宋体"/>
          <w14:ligatures w14:val="none"/>
        </w:rPr>
      </w:pPr>
      <w:r>
        <w:rPr>
          <w:rFonts w:hint="eastAsia" w:ascii="宋体" w:hAnsi="宋体" w:cs="宋体"/>
          <w:color w:val="000000" w:themeColor="text1"/>
          <w:szCs w:val="21"/>
          <w14:textFill>
            <w14:solidFill>
              <w14:schemeClr w14:val="tx1"/>
            </w14:solidFill>
          </w14:textFill>
        </w:rPr>
        <w:t xml:space="preserve">1、时间</w:t>
      </w:r>
      <w:r>
        <w:rPr>
          <w:rFonts w:hint="eastAsia" w:ascii="宋体" w:hAnsi="宋体" w:cs="宋体"/>
        </w:rPr>
        <w:t xml:space="preserve">：2026年8月2</w:t>
      </w:r>
      <w:r>
        <w:rPr>
          <w:rFonts w:hint="eastAsia" w:ascii="宋体" w:hAnsi="宋体" w:cs="宋体"/>
          <w:lang w:val="en-US" w:eastAsia="zh-CN"/>
        </w:rPr>
        <w:t xml:space="preserve">7</w:t>
      </w:r>
      <w:r>
        <w:rPr>
          <w:rFonts w:hint="eastAsia" w:ascii="宋体" w:hAnsi="宋体" w:cs="宋体"/>
        </w:rPr>
        <w:t xml:space="preserve">日13点30分（北京时间）</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w:t>
      </w:r>
      <w:r>
        <w:rPr>
          <w:rFonts w:hint="eastAsia" w:ascii="宋体" w:hAnsi="宋体" w:cs="宋体"/>
          <w:szCs w:val="21"/>
        </w:rPr>
        <w:t xml:space="preserve">“苏采云”系统（网址： http://jszfcg.jsczt.cn/）“开标大厅”</w:t>
      </w:r>
      <w:r/>
    </w:p>
    <w:p>
      <w:pPr>
        <w:ind w:firstLine="420"/>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w:t>
      </w:r>
      <w:r>
        <w:rPr>
          <w:rFonts w:hint="eastAsia" w:ascii="宋体" w:hAnsi="宋体" w:cs="宋体"/>
          <w:b/>
          <w:color w:val="000000" w:themeColor="text1"/>
          <w:szCs w:val="21"/>
          <w14:textFill>
            <w14:solidFill>
              <w14:schemeClr w14:val="tx1"/>
            </w14:solidFill>
          </w14:textFill>
        </w:rPr>
        <w:t xml:space="preserve">投标文件</w:t>
      </w:r>
      <w:bookmarkStart w:id="0" w:name="_Hlk90650305"/>
      <w:r>
        <w:rPr>
          <w:rFonts w:hint="eastAsia" w:ascii="宋体" w:hAnsi="宋体" w:cs="宋体"/>
          <w:b/>
          <w:color w:val="000000" w:themeColor="text1"/>
          <w:szCs w:val="21"/>
          <w14:textFill>
            <w14:solidFill>
              <w14:schemeClr w14:val="tx1"/>
            </w14:solidFill>
          </w14:textFill>
        </w:rPr>
        <w:t xml:space="preserve">网上递交</w:t>
      </w:r>
      <w:bookmarkEnd w:id="0"/>
      <w:r/>
      <w:r/>
    </w:p>
    <w:p>
      <w:pPr>
        <w:ind w:firstLine="420"/>
        <w:spacing w:line="360" w:lineRule="auto"/>
        <w:rPr>
          <w:rFonts w:hint="eastAsia" w:ascii="宋体" w:hAnsi="宋体" w:cs="宋体"/>
          <w:szCs w:val="21"/>
        </w:rPr>
      </w:pPr>
      <w:r/>
      <w:bookmarkStart w:id="1" w:name="_Hlk90650417"/>
      <w:r>
        <w:rPr>
          <w:rFonts w:hint="eastAsia" w:ascii="宋体" w:hAnsi="宋体" w:cs="宋体"/>
          <w:szCs w:val="21"/>
        </w:rPr>
        <w:t xml:space="preserve">线上参加开标（开启）会方式：供应商登录“苏采云”系统，点击“开标大厅”，选择对应项目，点击进入不见面开标系统。</w:t>
      </w:r>
      <w:r/>
    </w:p>
    <w:p>
      <w:pPr>
        <w:ind w:firstLine="422"/>
        <w:spacing w:line="360" w:lineRule="auto"/>
        <w:rPr>
          <w:rFonts w:hint="eastAsia" w:ascii="宋体" w:hAnsi="宋体" w:cs="宋体"/>
          <w:b/>
          <w:szCs w:val="21"/>
        </w:rPr>
      </w:pPr>
      <w:r>
        <w:rPr>
          <w:rFonts w:hint="eastAsia" w:ascii="宋体" w:hAnsi="宋体" w:cs="宋体"/>
          <w:b/>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宋体" w:hAnsi="宋体" w:cs="宋体"/>
          <w:b/>
          <w:szCs w:val="21"/>
        </w:rPr>
      </w:pPr>
      <w:r>
        <w:rPr>
          <w:rFonts w:hint="eastAsia" w:ascii="宋体" w:hAnsi="宋体" w:cs="宋体"/>
          <w:b/>
          <w:szCs w:val="21"/>
        </w:rPr>
        <w:t xml:space="preserve">请供应商确保电脑、系统及其他设备（视频输入输出设备等）无误，且开启直至项目结束始终保持系统在线状态。</w:t>
      </w:r>
      <w:bookmarkEnd w:id="1"/>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五、公告期限</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自本公告发布之日起5个工作日。 </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六、其他补充事宜</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bookmarkStart w:id="2" w:name="_Hlk132386576"/>
      <w:r>
        <w:rPr>
          <w:rFonts w:hint="eastAsia" w:ascii="宋体" w:hAnsi="宋体" w:cs="宋体"/>
          <w:color w:val="000000" w:themeColor="text1"/>
          <w:szCs w:val="21"/>
          <w14:textFill>
            <w14:solidFill>
              <w14:schemeClr w14:val="tx1"/>
            </w14:solidFill>
          </w14:textFill>
        </w:rPr>
        <w:t xml:space="preserve">政府采购监督电话：</w:t>
      </w:r>
      <w:bookmarkEnd w:id="2"/>
      <w:r>
        <w:rPr>
          <w:rFonts w:hint="eastAsia" w:ascii="宋体" w:hAnsi="宋体" w:cs="宋体"/>
          <w:color w:val="000000" w:themeColor="text1"/>
          <w:szCs w:val="21"/>
          <w:lang w:val="zh-CN"/>
          <w14:textFill>
            <w14:solidFill>
              <w14:schemeClr w14:val="tx1"/>
            </w14:solidFill>
          </w14:textFill>
        </w:rPr>
        <w:t xml:space="preserve">0512-65283947</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2、制作电子投标（响应）文件：</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33"/>
          <w:rFonts w:hint="eastAsia" w:ascii="宋体" w:hAnsi="宋体" w:cs="宋体"/>
          <w:szCs w:val="21"/>
        </w:rPr>
        <w:t xml:space="preserve">http://www.ccgp-jiangsu.gov.cn/jiangsu/zlxz/ee/ee3a4bc5a3454aa2b0d9312230633ce9.html</w:t>
      </w:r>
      <w:r>
        <w:rPr>
          <w:rStyle w:val="733"/>
          <w:rFonts w:hint="eastAsia" w:ascii="宋体" w:hAnsi="宋体" w:cs="宋体"/>
          <w:szCs w:val="21"/>
        </w:rPr>
        <w:fldChar w:fldCharType="end"/>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333333"/>
          <w:shd w:val="clear" w:color="auto" w:fill="ffffff"/>
        </w:rPr>
        <w:t xml:space="preserve">电子投标（响应）文件制作完成后请于投标（响应）截止时间前成功上传，</w:t>
      </w:r>
      <w:r>
        <w:rPr>
          <w:rFonts w:hint="eastAsia" w:ascii="宋体" w:hAnsi="宋体" w:cs="宋体"/>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shd w:val="clear" w:color="auto" w:fill="ffffff"/>
        </w:rPr>
        <w:t xml:space="preserve">3</w:t>
      </w:r>
      <w:r>
        <w:rPr>
          <w:rFonts w:hint="eastAsia" w:ascii="宋体" w:hAnsi="宋体" w:cs="宋体"/>
          <w:b/>
          <w:shd w:val="clear" w:color="auto" w:fill="ffffff"/>
        </w:rPr>
        <w:t xml:space="preserve">、投标供应商需保持</w:t>
      </w:r>
      <w:r>
        <w:rPr>
          <w:rFonts w:hint="eastAsia" w:ascii="宋体" w:hAnsi="宋体" w:cs="宋体"/>
          <w:b/>
          <w:szCs w:val="21"/>
        </w:rPr>
        <w:t xml:space="preserve">“苏采云”系统不见面开标大厅</w:t>
      </w:r>
      <w:r>
        <w:rPr>
          <w:rFonts w:hint="eastAsia" w:ascii="宋体" w:hAnsi="宋体" w:cs="宋体"/>
          <w:b/>
          <w:shd w:val="clear" w:color="auto" w:fill="ffffff"/>
        </w:rPr>
        <w:t xml:space="preserve">在线状态，并按要求在规定时间内进行响应。</w:t>
      </w:r>
      <w:r>
        <w:rPr>
          <w:rFonts w:hint="eastAsia" w:ascii="宋体" w:hAnsi="宋体" w:cs="宋体"/>
          <w:szCs w:val="21"/>
        </w:rPr>
        <w:t xml:space="preserve">在评审过程中系统如有特殊情况，工作人员会及时通过《投标供应商确认函》或法人授权委托书（如有）中留存的手机号与供应商联系。</w:t>
      </w:r>
      <w:r>
        <w:rPr>
          <w:rFonts w:hint="eastAsia" w:ascii="宋体" w:hAnsi="宋体" w:cs="宋体"/>
          <w:b/>
          <w:szCs w:val="21"/>
        </w:rPr>
        <w:t xml:space="preserve">请供应商确保系统在线状态且该手机号开评标当日通讯畅通，否则导致的对供应商不利的后果由供应商自行承担。</w:t>
      </w:r>
      <w:r/>
    </w:p>
    <w:p>
      <w:pPr>
        <w:pStyle w:val="679"/>
        <w:ind w:left="0" w:firstLine="420"/>
        <w:spacing w:after="0" w:line="360" w:lineRule="auto"/>
        <w:rPr>
          <w:rFonts w:hint="eastAsia" w:ascii="宋体" w:hAnsi="宋体" w:cs="宋体"/>
          <w:szCs w:val="21"/>
          <w:lang w:val="zh-CN"/>
        </w:rPr>
      </w:pPr>
      <w:r/>
      <w:bookmarkStart w:id="3" w:name="_Hlk132386608"/>
      <w:r>
        <w:rPr>
          <w:rFonts w:hint="eastAsia" w:ascii="宋体" w:hAnsi="宋体" w:cs="宋体"/>
          <w:szCs w:val="21"/>
          <w:lang w:val="zh-CN"/>
        </w:rPr>
        <w:t xml:space="preserve">4、本项目获取采购文件截止日期之后仍可以下载采购文件，但截止日期之后下载的采购文件，视为非有效方式且不作为供应商权益受到损害的证明材料和依据。</w:t>
      </w:r>
      <w:r/>
    </w:p>
    <w:p>
      <w:pPr>
        <w:pStyle w:val="679"/>
        <w:ind w:left="0" w:firstLine="420"/>
        <w:spacing w:after="0" w:line="360" w:lineRule="auto"/>
        <w:rPr>
          <w:rFonts w:hint="eastAsia" w:ascii="宋体" w:hAnsi="宋体" w:cs="宋体"/>
          <w:color w:val="000000" w:themeColor="text1"/>
          <w:shd w:val="clear" w:color="auto" w:fill="ffffff"/>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5、技术支持</w:t>
      </w:r>
      <w:bookmarkEnd w:id="3"/>
      <w:r/>
      <w:r/>
    </w:p>
    <w:p>
      <w:pPr>
        <w:ind w:firstLine="420"/>
        <w:spacing w:line="360" w:lineRule="auto"/>
        <w:rPr>
          <w:rFonts w:hint="eastAsia" w:ascii="宋体" w:hAnsi="宋体" w:cs="宋体"/>
          <w:szCs w:val="21"/>
        </w:rPr>
      </w:pPr>
      <w:r/>
      <w:bookmarkStart w:id="4" w:name="_Hlk158105485"/>
      <w:r>
        <w:rPr>
          <w:rFonts w:hint="eastAsia" w:ascii="宋体" w:hAnsi="宋体" w:cs="宋体"/>
          <w:szCs w:val="21"/>
        </w:rPr>
        <w:t xml:space="preserve">CA技术咨询服务电话：400-608-6099</w:t>
      </w:r>
      <w:r/>
    </w:p>
    <w:p>
      <w:pPr>
        <w:ind w:firstLine="420"/>
        <w:spacing w:line="360" w:lineRule="auto"/>
        <w:rPr>
          <w:rFonts w:hint="eastAsia" w:ascii="宋体" w:hAnsi="宋体" w:cs="宋体"/>
          <w:szCs w:val="21"/>
        </w:rPr>
      </w:pPr>
      <w:r>
        <w:rPr>
          <w:rFonts w:hint="eastAsia" w:ascii="宋体" w:hAnsi="宋体" w:cs="宋体"/>
          <w:szCs w:val="21"/>
        </w:rPr>
        <w:t xml:space="preserve">电子签章技术咨询服务电话：15380932027、15371015030 、13675197356、 13675197221</w:t>
      </w:r>
      <w:r/>
    </w:p>
    <w:p>
      <w:pPr>
        <w:ind w:firstLine="420"/>
        <w:spacing w:line="360" w:lineRule="auto"/>
        <w:rPr>
          <w:rFonts w:hint="eastAsia" w:ascii="宋体" w:hAnsi="宋体" w:cs="宋体"/>
          <w:szCs w:val="21"/>
        </w:rPr>
      </w:pPr>
      <w:r>
        <w:rPr>
          <w:rFonts w:hint="eastAsia" w:ascii="宋体" w:hAnsi="宋体" w:cs="宋体"/>
          <w:szCs w:val="21"/>
        </w:rPr>
        <w:t xml:space="preserve">“苏采云”平台技术咨询电话：</w:t>
      </w:r>
      <w:bookmarkEnd w:id="4"/>
      <w:r>
        <w:rPr>
          <w:rFonts w:hint="eastAsia" w:ascii="宋体" w:hAnsi="宋体" w:cs="宋体"/>
          <w:szCs w:val="21"/>
        </w:rPr>
        <w:t xml:space="preserve">0512-69820854、0519-86722802、13914088964、18261002950、QQ：3048755361、895706745。</w:t>
      </w:r>
      <w:r/>
    </w:p>
    <w:p>
      <w:pPr>
        <w:ind w:firstLine="420"/>
        <w:spacing w:line="360" w:lineRule="auto"/>
        <w:rPr>
          <w:rFonts w:hint="eastAsia" w:ascii="宋体" w:hAnsi="宋体" w:cs="宋体"/>
          <w:szCs w:val="21"/>
        </w:rPr>
      </w:pPr>
      <w:r>
        <w:rPr>
          <w:rFonts w:hint="eastAsia" w:ascii="宋体" w:hAnsi="宋体" w:cs="宋体"/>
          <w:szCs w:val="21"/>
        </w:rPr>
        <w:t xml:space="preserve">智能客服：登录苏采云系统后，联系系统右下方智能客服图标进行咨询。</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1、采购人信息 </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名称：苏州吴文化博物馆</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地址：苏州市吴中区澹台街9号</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联系人：茅天宸</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联系方式：0512-65285586</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2、采购代理机构信息</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 苏州诚联招投标咨询服务有限公司</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 苏州市彩香路6号金阊科技产业园3号楼3301</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项目联系人：徐梓蕴、陆可文、戈蕾、张琴</w:t>
      </w:r>
      <w:r/>
    </w:p>
    <w:p>
      <w:pPr>
        <w:pStyle w:val="689"/>
        <w:ind w:firstLine="420"/>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电话：0512-68301744</w:t>
      </w:r>
      <w:r/>
    </w:p>
    <w:p>
      <w:pPr>
        <w:pStyle w:val="689"/>
        <w:ind w:right="420"/>
        <w:jc w:val="right"/>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r>
      <w:r/>
    </w:p>
    <w:p>
      <w:pPr>
        <w:pStyle w:val="689"/>
        <w:numPr>
          <w:ilvl w:val="0"/>
          <w:numId w:val="2"/>
        </w:numPr>
        <w:ind w:hanging="1877"/>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br w:type="page" w:clear="all"/>
      </w:r>
      <w:bookmarkStart w:id="5" w:name="投标人须知"/>
      <w:r>
        <w:rPr>
          <w:rFonts w:hint="eastAsia" w:ascii="宋体" w:hAnsi="宋体" w:cs="宋体"/>
          <w:bCs/>
          <w:color w:val="000000" w:themeColor="text1"/>
          <w:sz w:val="44"/>
          <w:szCs w:val="44"/>
          <w14:textFill>
            <w14:solidFill>
              <w14:schemeClr w14:val="tx1"/>
            </w14:solidFill>
          </w14:textFill>
        </w:rPr>
        <w:t xml:space="preserve">投标人须知</w:t>
      </w:r>
      <w:bookmarkEnd w:id="5"/>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投标人不得存在下列情形之一：</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（2）为采购项目提供整体设计、规范编制或者项目管理、监理、监测等服务的投标人，不得再参加该采购项目的其他采购活动；本项目的此类投标人是：无。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ind w:firstLine="424"/>
        <w:spacing w:line="360" w:lineRule="auto"/>
        <w:tabs>
          <w:tab w:val="left" w:pos="851"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联合体投标：</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本项目☑不允许分包</w:t>
      </w:r>
      <w:r/>
    </w:p>
    <w:p>
      <w:pPr>
        <w:ind w:left="424"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投标费用</w:t>
      </w:r>
      <w:r/>
    </w:p>
    <w:p>
      <w:pPr>
        <w:numPr>
          <w:ilvl w:val="2"/>
          <w:numId w:val="0"/>
        </w:numPr>
        <w:ind w:firstLine="420"/>
        <w:spacing w:line="360" w:lineRule="auto"/>
        <w:tabs>
          <w:tab w:val="left" w:pos="851" w:leader="none"/>
        </w:tabs>
        <w:rPr>
          <w:rFonts w:hint="eastAsia" w:ascii="宋体" w:hAnsi="宋体" w:cs="宋体"/>
          <w:szCs w:val="21"/>
        </w:rPr>
      </w:pPr>
      <w:r>
        <w:rPr>
          <w:rFonts w:hint="eastAsia" w:ascii="宋体" w:hAnsi="宋体" w:cs="宋体"/>
          <w:szCs w:val="21"/>
        </w:rPr>
        <w:t xml:space="preserve">1.3.1供应商应自行承担所有准备及参加磋商的相关费用。不论磋商结果如何，采购代理机构在任何情况下均无义务也无责任承担这些费用。</w:t>
      </w:r>
      <w:r/>
    </w:p>
    <w:p>
      <w:pPr>
        <w:numPr>
          <w:ilvl w:val="2"/>
          <w:numId w:val="0"/>
        </w:numPr>
        <w:ind w:firstLine="420"/>
        <w:spacing w:line="360" w:lineRule="auto"/>
        <w:tabs>
          <w:tab w:val="left" w:pos="851" w:leader="none"/>
        </w:tabs>
        <w:rPr>
          <w:rFonts w:hint="eastAsia" w:ascii="宋体" w:hAnsi="宋体" w:cs="宋体"/>
          <w:szCs w:val="21"/>
        </w:rPr>
      </w:pPr>
      <w:r>
        <w:rPr>
          <w:rFonts w:hint="eastAsia" w:ascii="宋体" w:hAnsi="宋体" w:cs="宋体"/>
          <w:szCs w:val="21"/>
        </w:rPr>
        <w:t xml:space="preserve">1.3.2本次磋商项目由苏州诚联招投标咨询服务有限公司代理，不收取磋商文件费用。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代理服务费：由采购人向招标代理公司支付。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评审费：由采购人支付。</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79"/>
        <w:spacing w:after="0" w:line="360" w:lineRule="auto"/>
        <w:rPr>
          <w:rFonts w:hint="eastAsia" w:ascii="宋体" w:hAnsi="宋体" w:cs="宋体"/>
        </w:rPr>
      </w:pPr>
      <w:r/>
      <w:bookmarkStart w:id="6" w:name="_Hlk132385210"/>
      <w:r>
        <w:rPr>
          <w:rFonts w:hint="eastAsia" w:ascii="宋体" w:hAnsi="宋体" w:cs="宋体"/>
        </w:rPr>
        <w:t xml:space="preserve">1.9</w:t>
      </w:r>
      <w:r>
        <w:rPr>
          <w:rFonts w:hint="eastAsia" w:ascii="宋体" w:hAnsi="宋体" w:cs="宋体"/>
          <w:b/>
        </w:rPr>
        <w:t xml:space="preserve">现场踏勘</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w:t>
      </w:r>
      <w:r/>
    </w:p>
    <w:p>
      <w:pPr>
        <w:pStyle w:val="679"/>
        <w:rPr>
          <w:rFonts w:hint="eastAsia" w:ascii="宋体" w:hAnsi="宋体" w:cs="宋体"/>
        </w:rPr>
      </w:pPr>
      <w:r>
        <w:rPr>
          <w:rFonts w:hint="eastAsia" w:ascii="宋体" w:hAnsi="宋体" w:cs="宋体"/>
        </w:rPr>
        <w:t xml:space="preserve">1.10</w:t>
      </w:r>
      <w:r>
        <w:rPr>
          <w:rFonts w:hint="eastAsia" w:ascii="宋体" w:hAnsi="宋体" w:cs="宋体"/>
          <w:b/>
        </w:rPr>
        <w:t xml:space="preserve">集中现场考察</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本项目按以下第</w:t>
      </w:r>
      <w:r>
        <w:rPr>
          <w:rFonts w:hint="eastAsia" w:ascii="宋体" w:hAnsi="宋体" w:cs="宋体"/>
          <w:color w:val="000000" w:themeColor="text1"/>
          <w:szCs w:val="21"/>
          <w:u w:val="single"/>
          <w14:textFill>
            <w14:solidFill>
              <w14:schemeClr w14:val="tx1"/>
            </w14:solidFill>
          </w14:textFill>
        </w:rPr>
        <w:t xml:space="preserve">① </w:t>
      </w:r>
      <w:r>
        <w:rPr>
          <w:rFonts w:hint="eastAsia" w:ascii="宋体" w:hAnsi="宋体" w:cs="宋体"/>
          <w:color w:val="000000" w:themeColor="text1"/>
          <w:szCs w:val="21"/>
          <w14:textFill>
            <w14:solidFill>
              <w14:schemeClr w14:val="tx1"/>
            </w14:solidFill>
          </w14:textFill>
        </w:rPr>
        <w:t xml:space="preserve">种方式组织集中现场考察：</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①采购人不组织集中现场考察；</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②采购人组织集中现场考察，请供应商持在采购系统中下载本项目采购文件的</w:t>
      </w:r>
      <w:r>
        <w:rPr>
          <w:rFonts w:hint="eastAsia" w:ascii="宋体" w:hAnsi="宋体" w:cs="宋体"/>
          <w:b/>
          <w:color w:val="000000" w:themeColor="text1"/>
          <w14:textFill>
            <w14:solidFill>
              <w14:schemeClr w14:val="tx1"/>
            </w14:solidFill>
          </w14:textFill>
        </w:rPr>
        <w:t xml:space="preserve">《投标供应商确认函》</w:t>
      </w:r>
      <w:r>
        <w:rPr>
          <w:rFonts w:hint="eastAsia" w:ascii="宋体" w:hAnsi="宋体" w:cs="宋体"/>
          <w:color w:val="000000" w:themeColor="text1"/>
          <w:szCs w:val="21"/>
          <w14:textFill>
            <w14:solidFill>
              <w14:schemeClr w14:val="tx1"/>
            </w14:solidFill>
          </w14:textFill>
        </w:rPr>
        <w:t xml:space="preserve">，按以下时间地点参加集中现场考察：</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集合时间：</w:t>
      </w:r>
      <w:r>
        <w:rPr>
          <w:rFonts w:hint="eastAsia" w:ascii="宋体" w:hAnsi="宋体" w:cs="宋体"/>
          <w:color w:val="000000" w:themeColor="text1"/>
          <w:szCs w:val="21"/>
          <w:u w:val="single"/>
          <w14:textFill>
            <w14:solidFill>
              <w14:schemeClr w14:val="tx1"/>
            </w14:solidFill>
          </w14:textFill>
        </w:rPr>
        <w:t xml:space="preserve">/年/月/日/时/分（北京时间）</w:t>
      </w:r>
      <w:r>
        <w:rPr>
          <w:rFonts w:hint="eastAsia" w:ascii="宋体" w:hAnsi="宋体" w:cs="宋体"/>
          <w:color w:val="000000" w:themeColor="text1"/>
          <w:szCs w:val="21"/>
          <w14:textFill>
            <w14:solidFill>
              <w14:schemeClr w14:val="tx1"/>
            </w14:solidFill>
          </w14:textFill>
        </w:rPr>
        <w:t xml:space="preserve">；</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集合地点：</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w:t>
      </w:r>
      <w:r/>
    </w:p>
    <w:p>
      <w:pPr>
        <w:pStyle w:val="679"/>
        <w:ind w:left="0" w:firstLine="422"/>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请供应商安排好行程，不得迟到。未提</w:t>
      </w:r>
      <w:r>
        <w:rPr>
          <w:rFonts w:hint="eastAsia" w:ascii="宋体" w:hAnsi="宋体" w:cs="宋体"/>
          <w:b/>
          <w:szCs w:val="21"/>
        </w:rPr>
        <w:t xml:space="preserve">供《投标供应商确认函》</w:t>
      </w:r>
      <w:r>
        <w:rPr>
          <w:rFonts w:hint="eastAsia" w:ascii="宋体" w:hAnsi="宋体" w:cs="宋体"/>
          <w:b/>
          <w:color w:val="000000" w:themeColor="text1"/>
          <w:szCs w:val="21"/>
          <w14:textFill>
            <w14:solidFill>
              <w14:schemeClr w14:val="tx1"/>
            </w14:solidFill>
          </w14:textFill>
        </w:rPr>
        <w:t xml:space="preserve">或迟到者，恕不接待。</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（5）由于未进行现场考察造成的任何问题由供应商自行承担。</w:t>
      </w:r>
      <w:r/>
    </w:p>
    <w:p>
      <w:pPr>
        <w:pStyle w:val="679"/>
        <w:rPr>
          <w:rFonts w:hint="eastAsia" w:ascii="宋体" w:hAnsi="宋体" w:cs="宋体"/>
          <w:b/>
        </w:rPr>
      </w:pPr>
      <w:r>
        <w:rPr>
          <w:rFonts w:hint="eastAsia" w:ascii="宋体" w:hAnsi="宋体" w:cs="宋体"/>
        </w:rPr>
        <w:t xml:space="preserve">1.11</w:t>
      </w:r>
      <w:r>
        <w:rPr>
          <w:rFonts w:hint="eastAsia" w:ascii="宋体" w:hAnsi="宋体" w:cs="宋体"/>
          <w:b/>
        </w:rPr>
        <w:t xml:space="preserve">法律适用</w:t>
      </w:r>
      <w:r/>
    </w:p>
    <w:p>
      <w:pPr>
        <w:pStyle w:val="679"/>
        <w:spacing w:after="0" w:line="360" w:lineRule="auto"/>
        <w:rPr>
          <w:rFonts w:hint="eastAsia" w:ascii="宋体" w:hAnsi="宋体" w:cs="宋体"/>
        </w:rPr>
      </w:pPr>
      <w:r>
        <w:rPr>
          <w:rFonts w:hint="eastAsia" w:ascii="宋体" w:hAnsi="宋体" w:cs="宋体"/>
          <w:szCs w:val="21"/>
        </w:rPr>
        <w:t xml:space="preserve">本次招标活动及因本次招标产生的合同受中华人民共和国有关的法律法规制约和保护。</w:t>
      </w:r>
      <w:bookmarkEnd w:id="6"/>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招标文件的说明</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招标文件的获取见第一章招标公告</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投标人在收到招标文件后，若有问题需要询问，若有问题需要询问，应于下载招标文件后，可通过公告中的联系方式及时提出，采购人或采购代理机构将予以解答。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招标文件的澄清或修改</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w:t>
      </w:r>
      <w:r>
        <w:rPr>
          <w:rFonts w:hint="eastAsia" w:ascii="宋体" w:hAnsi="宋体" w:cs="宋体"/>
          <w:szCs w:val="21"/>
        </w:rPr>
        <w:t xml:space="preserve">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如有遗漏（包括但不限于文件未下载或下载不完整），可能无法解密投标（响应）文件，由此所造成的投标失败或损失由投标供应商自行负责</w:t>
      </w:r>
      <w:r>
        <w:rPr>
          <w:rFonts w:hint="eastAsia" w:ascii="宋体" w:hAnsi="宋体" w:cs="宋体"/>
          <w:color w:val="000000" w:themeColor="text1"/>
          <w:szCs w:val="21"/>
          <w14:textFill>
            <w14:solidFill>
              <w14:schemeClr w14:val="tx1"/>
            </w14:solidFill>
          </w14:textFill>
        </w:rPr>
        <w:t xml:space="preserve">。</w:t>
      </w:r>
      <w:r/>
    </w:p>
    <w:p>
      <w:pPr>
        <w:pStyle w:val="679"/>
        <w:spacing w:after="0" w:line="360" w:lineRule="auto"/>
        <w:rPr>
          <w:rFonts w:hint="eastAsia" w:ascii="宋体" w:hAnsi="宋体" w:cs="宋体"/>
          <w:b/>
          <w:color w:val="000000" w:themeColor="text1"/>
          <w:szCs w:val="21"/>
          <w14:textFill>
            <w14:solidFill>
              <w14:schemeClr w14:val="tx1"/>
            </w14:solidFill>
          </w14:textFill>
        </w:rPr>
      </w:pPr>
      <w:r/>
      <w:bookmarkStart w:id="7" w:name="_Hlk132385248"/>
      <w:r>
        <w:rPr>
          <w:rFonts w:hint="eastAsia" w:ascii="宋体" w:hAnsi="宋体" w:cs="宋体"/>
          <w:b/>
          <w:color w:val="000000" w:themeColor="text1"/>
          <w:szCs w:val="21"/>
          <w14:textFill>
            <w14:solidFill>
              <w14:schemeClr w14:val="tx1"/>
            </w14:solidFill>
          </w14:textFill>
        </w:rPr>
        <w:t xml:space="preserve">2.4招标文件的约束力</w:t>
      </w:r>
      <w:r/>
    </w:p>
    <w:p>
      <w:pPr>
        <w:pStyle w:val="679"/>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（1）投标人一旦参加本项目采购活动，即被认为接受了本招标文件的规定和约束。</w:t>
      </w:r>
      <w:r/>
    </w:p>
    <w:p>
      <w:pPr>
        <w:pStyle w:val="679"/>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7"/>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rPr>
          <w:rFonts w:hint="eastAsia" w:ascii="宋体" w:hAnsi="宋体" w:cs="宋体"/>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投标文件的组成</w:t>
      </w:r>
      <w:r/>
    </w:p>
    <w:p>
      <w:pPr>
        <w:pStyle w:val="679"/>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3.1.1</w:t>
      </w:r>
      <w:r>
        <w:rPr>
          <w:rFonts w:hint="eastAsia" w:ascii="宋体" w:hAnsi="宋体" w:cs="宋体"/>
          <w:b/>
          <w:bCs/>
          <w:color w:val="000000" w:themeColor="text1"/>
          <w:szCs w:val="21"/>
          <w:lang w:val="zh-CN"/>
          <w14:textFill>
            <w14:solidFill>
              <w14:schemeClr w14:val="tx1"/>
            </w14:solidFill>
          </w14:textFill>
        </w:rPr>
        <w:t xml:space="preserve">报价部分 (格式见第三章)：</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）开标一览表(统一格式,用于唱标)；</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）投标报价表(投标人视需要自行编写)；</w:t>
      </w:r>
      <w:r/>
    </w:p>
    <w:p>
      <w:pPr>
        <w:pStyle w:val="679"/>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3.1.2</w:t>
      </w:r>
      <w:r>
        <w:rPr>
          <w:rFonts w:hint="eastAsia" w:ascii="宋体" w:hAnsi="宋体" w:cs="宋体"/>
          <w:b/>
          <w:bCs/>
          <w:color w:val="000000" w:themeColor="text1"/>
          <w:szCs w:val="21"/>
          <w:lang w:val="zh-CN"/>
          <w14:textFill>
            <w14:solidFill>
              <w14:schemeClr w14:val="tx1"/>
            </w14:solidFill>
          </w14:textFill>
        </w:rPr>
        <w:t xml:space="preserve">资格性审查文件</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）法人或者其他组织的营业执照（或自然人的身份证明）复印件；</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（2）经审计的2025年度财务报告复印件，其他组织、自然人及成立未满一年的法人应提供银行出具的资信证明</w:t>
      </w:r>
      <w:r>
        <w:rPr>
          <w:rFonts w:hint="eastAsia" w:ascii="宋体" w:hAnsi="宋体" w:cs="宋体"/>
          <w:color w:val="000000" w:themeColor="text1"/>
          <w:szCs w:val="21"/>
          <w:lang w:val="zh-CN"/>
          <w14:textFill>
            <w14:solidFill>
              <w14:schemeClr w14:val="tx1"/>
            </w14:solidFill>
          </w14:textFill>
        </w:rPr>
        <w:t xml:space="preserve">；</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投标人则须提供对应证明资料；</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）提供履行合同所必备的设备和专业技术能力的证明材料或承诺函；</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）参加政府采购活动前三年内在经营活动中没有重大违法记录的书面声明；</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w:t>
      </w:r>
      <w:bookmarkStart w:id="55" w:name="_GoBack"/>
      <w:r>
        <w:rPr>
          <w:rFonts w:hint="eastAsia" w:ascii="宋体" w:hAnsi="宋体" w:cs="宋体"/>
          <w:color w:val="000000" w:themeColor="text1"/>
          <w:szCs w:val="21"/>
          <w:lang w:val="zh-CN"/>
          <w14:textFill>
            <w14:solidFill>
              <w14:schemeClr w14:val="tx1"/>
            </w14:solidFill>
          </w14:textFill>
        </w:rPr>
        <w:t xml:space="preserve">提供《中小企业声明函》或残疾人福利性单位声明函或监狱企业证明文件。</w:t>
      </w:r>
      <w:bookmarkEnd w:id="55"/>
      <w:r/>
    </w:p>
    <w:p>
      <w:pPr>
        <w:pStyle w:val="679"/>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3.1.3</w:t>
      </w:r>
      <w:r>
        <w:rPr>
          <w:rFonts w:hint="eastAsia" w:ascii="宋体" w:hAnsi="宋体" w:cs="宋体"/>
          <w:b/>
          <w:bCs/>
          <w:color w:val="000000" w:themeColor="text1"/>
          <w:szCs w:val="21"/>
          <w:lang w:val="zh-CN"/>
          <w14:textFill>
            <w14:solidFill>
              <w14:schemeClr w14:val="tx1"/>
            </w14:solidFill>
          </w14:textFill>
        </w:rPr>
        <w:t xml:space="preserve">符合性审查文件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）投标函（格式见第三章）；</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投标货物和服务数量、品牌、规格、生产厂家明细表（格式见第三章）；</w:t>
      </w:r>
      <w:r/>
    </w:p>
    <w:p>
      <w:pPr>
        <w:ind w:firstLine="420"/>
        <w:spacing w:line="360" w:lineRule="auto"/>
        <w:rPr>
          <w:rFonts w:hint="eastAsia" w:ascii="宋体" w:hAnsi="宋体" w:cs="宋体"/>
          <w:szCs w:val="21"/>
        </w:rPr>
      </w:pPr>
      <w:r>
        <w:rPr>
          <w:rFonts w:hint="eastAsia" w:ascii="宋体" w:hAnsi="宋体" w:cs="宋体"/>
          <w:szCs w:val="21"/>
        </w:rPr>
        <w:t xml:space="preserve">（3）采购需求偏离表（格式见第三章）； </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（4）对</w:t>
      </w:r>
      <w:r>
        <w:rPr>
          <w:rFonts w:hint="eastAsia" w:ascii="宋体" w:hAnsi="宋体"/>
          <w:color w:val="000000" w:themeColor="text1"/>
          <w:szCs w:val="21"/>
          <w14:textFill>
            <w14:solidFill>
              <w14:schemeClr w14:val="tx1"/>
            </w14:solidFill>
          </w14:textFill>
        </w:rPr>
        <w:t xml:space="preserve">属于《节能产品政府采购品目清单》政府强制采购产品的，需提供该产品有效期内的认证等相关证明材料；</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）采购需求中所涉及到的或投标单位认为需加以说明或证明的其他有关符合性证明材料、证明（如有）；</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）法人授权委托书（如有授权委托，格式见第</w:t>
      </w:r>
      <w:r>
        <w:rPr>
          <w:rFonts w:hint="eastAsia" w:ascii="宋体" w:hAnsi="宋体"/>
          <w:szCs w:val="21"/>
        </w:rPr>
        <w:t xml:space="preserve">三</w:t>
      </w:r>
      <w:r>
        <w:rPr>
          <w:rFonts w:hint="eastAsia" w:ascii="宋体" w:hAnsi="宋体"/>
          <w:szCs w:val="21"/>
          <w:lang w:val="zh-CN"/>
        </w:rPr>
        <w:t xml:space="preserve">章）或法定代表人身份证；</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7</w:t>
      </w:r>
      <w:r>
        <w:rPr>
          <w:rFonts w:hint="eastAsia" w:ascii="宋体" w:hAnsi="宋体"/>
          <w:szCs w:val="21"/>
          <w:lang w:val="zh-CN"/>
        </w:rPr>
        <w:t xml:space="preserve">）代理人身份证（如有授权委托）。</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）关于资格文件的声明函（格式见第三章）；</w:t>
      </w:r>
      <w:r/>
    </w:p>
    <w:p>
      <w:pPr>
        <w:pStyle w:val="679"/>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9</w:t>
      </w:r>
      <w:r>
        <w:rPr>
          <w:rFonts w:hint="eastAsia" w:ascii="宋体" w:hAnsi="宋体" w:cs="宋体"/>
          <w:color w:val="000000" w:themeColor="text1"/>
          <w:szCs w:val="21"/>
          <w:lang w:val="zh-CN"/>
          <w14:textFill>
            <w14:solidFill>
              <w14:schemeClr w14:val="tx1"/>
            </w14:solidFill>
          </w14:textFill>
        </w:rPr>
        <w:t xml:space="preserve">）投标单位情况表（格式见第三章）；</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3.1.4</w:t>
      </w:r>
      <w:r>
        <w:rPr>
          <w:rFonts w:hint="eastAsia" w:ascii="宋体" w:hAnsi="宋体" w:cs="宋体"/>
          <w:color w:val="000000" w:themeColor="text1"/>
          <w:szCs w:val="21"/>
          <w:lang w:val="zh-CN"/>
          <w14:textFill>
            <w14:solidFill>
              <w14:schemeClr w14:val="tx1"/>
            </w14:solidFill>
          </w14:textFill>
        </w:rPr>
        <w:t xml:space="preserve">对本次响应的其他有关说明（供应商视需要自行编写提供）。</w:t>
      </w:r>
      <w:r/>
    </w:p>
    <w:p>
      <w:pPr>
        <w:pStyle w:val="679"/>
        <w:ind w:left="0" w:firstLine="420"/>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val="0"/>
          <w:bCs w:val="0"/>
          <w:color w:val="000000" w:themeColor="text1"/>
          <w:szCs w:val="21"/>
          <w:lang w:val="en-US" w:eastAsia="zh-CN"/>
          <w14:textFill>
            <w14:solidFill>
              <w14:schemeClr w14:val="tx1"/>
            </w14:solidFill>
          </w14:textFill>
        </w:rPr>
        <w:t xml:space="preserve">3.1.5</w:t>
      </w:r>
      <w:r>
        <w:rPr>
          <w:rFonts w:hint="eastAsia" w:ascii="宋体" w:hAnsi="宋体"/>
          <w:color w:val="000000" w:themeColor="text1"/>
          <w:sz w:val="21"/>
          <w:szCs w:val="21"/>
          <w14:textFill>
            <w14:solidFill>
              <w14:schemeClr w14:val="tx1"/>
            </w14:solidFill>
          </w14:textFill>
        </w:rPr>
        <w:t xml:space="preserve">《关于符合本国产品标准的声明函》</w:t>
      </w:r>
      <w:r>
        <w:rPr>
          <w:rFonts w:hint="eastAsia" w:ascii="宋体" w:hAnsi="宋体"/>
          <w:color w:val="000000" w:themeColor="text1"/>
          <w:sz w:val="21"/>
          <w:szCs w:val="21"/>
          <w:lang w:eastAsia="zh-CN"/>
          <w14:textFill>
            <w14:solidFill>
              <w14:schemeClr w14:val="tx1"/>
            </w14:solidFill>
          </w14:textFill>
        </w:rPr>
        <w:t xml:space="preserve">（</w:t>
      </w:r>
      <w:r>
        <w:rPr>
          <w:rFonts w:hint="eastAsia" w:ascii="宋体" w:hAnsi="宋体"/>
          <w:szCs w:val="21"/>
          <w:lang w:val="zh-CN"/>
        </w:rPr>
        <w:t xml:space="preserve">格式见第</w:t>
      </w:r>
      <w:r>
        <w:rPr>
          <w:rFonts w:hint="eastAsia" w:ascii="宋体" w:hAnsi="宋体"/>
          <w:szCs w:val="21"/>
        </w:rPr>
        <w:t xml:space="preserve">三</w:t>
      </w:r>
      <w:r>
        <w:rPr>
          <w:rFonts w:hint="eastAsia" w:ascii="宋体" w:hAnsi="宋体"/>
          <w:szCs w:val="21"/>
          <w:lang w:val="zh-CN"/>
        </w:rPr>
        <w:t xml:space="preserve">章）</w:t>
      </w:r>
      <w:r>
        <w:rPr>
          <w:rFonts w:hint="eastAsia" w:ascii="宋体" w:hAnsi="宋体"/>
          <w:color w:val="000000" w:themeColor="text1"/>
          <w:sz w:val="21"/>
          <w:szCs w:val="21"/>
          <w:lang w:eastAsia="zh-CN"/>
          <w14:textFill>
            <w14:solidFill>
              <w14:schemeClr w14:val="tx1"/>
            </w14:solidFill>
          </w14:textFill>
        </w:rPr>
        <w:t xml:space="preserve">。</w:t>
      </w:r>
      <w:r/>
    </w:p>
    <w:p>
      <w:pPr>
        <w:pStyle w:val="679"/>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3.</w:t>
      </w:r>
      <w:r>
        <w:rPr>
          <w:rFonts w:hint="eastAsia"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6</w:t>
      </w:r>
      <w:r>
        <w:rPr>
          <w:rFonts w:hint="eastAsia" w:ascii="宋体" w:hAnsi="宋体" w:cs="宋体"/>
          <w:b/>
          <w:bCs/>
          <w:color w:val="000000" w:themeColor="text1"/>
          <w:szCs w:val="21"/>
          <w:lang w:val="zh-CN"/>
          <w14:textFill>
            <w14:solidFill>
              <w14:schemeClr w14:val="tx1"/>
            </w14:solidFill>
          </w14:textFill>
        </w:rPr>
        <w:t xml:space="preserve"> 综合评审文件</w:t>
      </w:r>
      <w:r/>
    </w:p>
    <w:p>
      <w:pPr>
        <w:pStyle w:val="679"/>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评分标准中所涉及到针对本项目的各项实施、服务方案、相关制度、证书、业绩、承诺函及其他材料、证明等。</w:t>
      </w:r>
      <w:r/>
    </w:p>
    <w:p>
      <w:pPr>
        <w:pStyle w:val="679"/>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w:t>
      </w:r>
      <w:r>
        <w:rPr>
          <w:rFonts w:hint="eastAsia" w:ascii="宋体" w:hAnsi="宋体" w:cs="宋体"/>
          <w:b/>
          <w:bCs/>
          <w:color w:val="000000" w:themeColor="text1"/>
          <w:szCs w:val="21"/>
          <w:lang w:val="zh-CN"/>
          <w14:textFill>
            <w14:solidFill>
              <w14:schemeClr w14:val="tx1"/>
            </w14:solidFill>
          </w14:textFill>
        </w:rPr>
        <w:t xml:space="preserve">必须提交上述3.1.</w:t>
      </w:r>
      <w:r>
        <w:rPr>
          <w:rFonts w:hint="eastAsia"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lang w:val="zh-CN"/>
          <w14:textFill>
            <w14:solidFill>
              <w14:schemeClr w14:val="tx1"/>
            </w14:solidFill>
          </w14:textFill>
        </w:rPr>
        <w:t xml:space="preserve">—3.1.3规定的资料，否则</w:t>
      </w:r>
      <w:r>
        <w:rPr>
          <w:rFonts w:hint="eastAsia" w:ascii="宋体" w:hAnsi="宋体" w:cs="宋体"/>
          <w:b/>
          <w:bCs/>
          <w:color w:val="000000" w:themeColor="text1"/>
          <w:szCs w:val="21"/>
          <w14:textFill>
            <w14:solidFill>
              <w14:schemeClr w14:val="tx1"/>
            </w14:solidFill>
          </w14:textFill>
        </w:rPr>
        <w:t xml:space="preserve">投标</w:t>
      </w:r>
      <w:r>
        <w:rPr>
          <w:rFonts w:hint="eastAsia" w:ascii="宋体" w:hAnsi="宋体" w:cs="宋体"/>
          <w:b/>
          <w:bCs/>
          <w:color w:val="000000" w:themeColor="text1"/>
          <w:szCs w:val="21"/>
          <w:lang w:val="zh-CN"/>
          <w14:textFill>
            <w14:solidFill>
              <w14:schemeClr w14:val="tx1"/>
            </w14:solidFill>
          </w14:textFill>
        </w:rPr>
        <w:t xml:space="preserve">文件将因未实质性响应</w:t>
      </w:r>
      <w:r>
        <w:rPr>
          <w:rFonts w:hint="eastAsia" w:ascii="宋体" w:hAnsi="宋体" w:cs="宋体"/>
          <w:b/>
          <w:bCs/>
          <w:color w:val="000000" w:themeColor="text1"/>
          <w:szCs w:val="21"/>
          <w14:textFill>
            <w14:solidFill>
              <w14:schemeClr w14:val="tx1"/>
            </w14:solidFill>
          </w14:textFill>
        </w:rPr>
        <w:t xml:space="preserve">招标</w:t>
      </w:r>
      <w:r>
        <w:rPr>
          <w:rFonts w:hint="eastAsia" w:ascii="宋体" w:hAnsi="宋体" w:cs="宋体"/>
          <w:b/>
          <w:bCs/>
          <w:color w:val="000000" w:themeColor="text1"/>
          <w:szCs w:val="21"/>
          <w:lang w:val="zh-CN"/>
          <w14:textFill>
            <w14:solidFill>
              <w14:schemeClr w14:val="tx1"/>
            </w14:solidFill>
          </w14:textFill>
        </w:rPr>
        <w:t xml:space="preserve">文件而被拒绝。</w:t>
      </w:r>
      <w:r/>
    </w:p>
    <w:p>
      <w:pPr>
        <w:pStyle w:val="679"/>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679"/>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pStyle w:val="679"/>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投标报价</w:t>
      </w:r>
      <w:r/>
    </w:p>
    <w:p>
      <w:pPr>
        <w:numPr>
          <w:ilvl w:val="2"/>
          <w:numId w:val="3"/>
        </w:numPr>
        <w:ind w:left="0" w:firstLine="567"/>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w:t>
      </w:r>
      <w:r>
        <w:rPr>
          <w:rFonts w:hint="eastAsia" w:ascii="宋体" w:hAnsi="宋体" w:cs="宋体"/>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投标报价超过招标文件中规定的预算金额或者最高限价的，或者各标的物的单价超过该项预算单价的（针对采购文件标明预算单价的项目），其投标无效。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投标文</w:t>
      </w:r>
      <w:r>
        <w:rPr>
          <w:rFonts w:hint="eastAsia" w:ascii="宋体" w:hAnsi="宋体" w:cs="宋体"/>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本项目投标有效期为</w:t>
      </w:r>
      <w:r>
        <w:rPr>
          <w:rFonts w:hint="eastAsia" w:ascii="宋体" w:hAnsi="宋体" w:cs="宋体"/>
          <w:b/>
          <w:color w:val="000000" w:themeColor="text1"/>
          <w:szCs w:val="21"/>
          <w:lang w:val="zh-CN"/>
          <w14:textFill>
            <w14:solidFill>
              <w14:schemeClr w14:val="tx1"/>
            </w14:solidFill>
          </w14:textFill>
        </w:rPr>
        <w:t xml:space="preserve">〖90〗</w:t>
      </w:r>
      <w:r>
        <w:rPr>
          <w:rFonts w:hint="eastAsia" w:ascii="宋体" w:hAnsi="宋体" w:cs="宋体"/>
          <w:b/>
          <w:color w:val="000000" w:themeColor="text1"/>
          <w:szCs w:val="21"/>
          <w14:textFill>
            <w14:solidFill>
              <w14:schemeClr w14:val="tx1"/>
            </w14:solidFill>
          </w14:textFill>
        </w:rPr>
        <w:t xml:space="preserve">天。投标文件中承诺的投标有效期应当不少于招标文件中载明的投标有效期，否则投标无效。</w:t>
      </w:r>
      <w:r>
        <w:rPr>
          <w:rFonts w:hint="eastAsia" w:ascii="宋体" w:hAnsi="宋体" w:cs="宋体"/>
          <w:color w:val="000000" w:themeColor="text1"/>
          <w:szCs w:val="21"/>
          <w14:textFill>
            <w14:solidFill>
              <w14:schemeClr w14:val="tx1"/>
            </w14:solidFill>
          </w14:textFill>
        </w:rPr>
        <w:t xml:space="preserve">特殊情况下需要延长投标有效期的，招标人应以书面形式通知所有投标人延长投标有效期，投标人应书面答复，同意延长的不得要求或被允许修改其投标文件；拒绝延长的，其投标失效。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电子投标文件的编制与</w:t>
      </w:r>
      <w:r>
        <w:rPr>
          <w:rFonts w:hint="eastAsia" w:ascii="宋体" w:hAnsi="宋体" w:cs="宋体"/>
          <w:b/>
          <w:bCs/>
          <w:szCs w:val="21"/>
        </w:rPr>
        <w:t xml:space="preserve">递交</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8" w:name="_Hlk158135128"/>
      <w:r>
        <w:rPr>
          <w:rFonts w:hint="eastAsia" w:ascii="宋体" w:hAnsi="宋体" w:cs="宋体"/>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电子投标（响应)文件递交：</w:t>
      </w:r>
      <w:r>
        <w:rPr>
          <w:rFonts w:hint="eastAsia" w:ascii="宋体" w:hAnsi="宋体" w:cs="宋体"/>
          <w:b/>
          <w:szCs w:val="21"/>
        </w:rPr>
        <w:t xml:space="preserve">投标人应当按照《操作手册》指引，在投标（响应）文件提交截止时间前完成电子投标（响应）文件的上传，未按要求成功上传的投标（响应）文件视为未递交。</w:t>
      </w:r>
      <w:r>
        <w:rPr>
          <w:rFonts w:hint="eastAsia" w:ascii="宋体" w:hAnsi="宋体" w:cs="宋体"/>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宋体" w:hAnsi="宋体" w:cs="宋体"/>
          <w:color w:val="ff0000"/>
          <w:szCs w:val="21"/>
        </w:rPr>
      </w:pPr>
      <w:r>
        <w:rPr>
          <w:rFonts w:hint="eastAsia" w:ascii="宋体" w:hAnsi="宋体" w:cs="宋体"/>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宋体" w:hAnsi="宋体" w:cs="宋体"/>
          <w:color w:val="ff0000"/>
          <w:szCs w:val="21"/>
        </w:rPr>
      </w:pPr>
      <w:r>
        <w:rPr>
          <w:rFonts w:hint="eastAsia" w:ascii="宋体" w:hAnsi="宋体" w:cs="宋体"/>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宋体" w:hAnsi="宋体" w:cs="宋体"/>
          <w:b/>
          <w:szCs w:val="21"/>
        </w:rPr>
      </w:pPr>
      <w:r>
        <w:rPr>
          <w:rFonts w:hint="eastAsia" w:ascii="宋体" w:hAnsi="宋体" w:cs="宋体"/>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9" w:name="_Hlk158134955"/>
      <w:r>
        <w:rPr>
          <w:rFonts w:hint="eastAsia" w:ascii="宋体" w:hAnsi="宋体" w:cs="宋体"/>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第二步；在投标（响应）文件中，由联合体中的牵头人制作投标（响应）文件。</w:t>
      </w:r>
      <w:bookmarkEnd w:id="9"/>
      <w:r/>
      <w:r/>
    </w:p>
    <w:p>
      <w:pPr>
        <w:numPr>
          <w:ilvl w:val="2"/>
          <w:numId w:val="3"/>
        </w:numPr>
        <w:ind w:left="0" w:firstLine="567"/>
        <w:spacing w:line="360" w:lineRule="auto"/>
        <w:tabs>
          <w:tab w:val="left" w:pos="142" w:leader="none"/>
          <w:tab w:val="left" w:pos="600" w:leader="none"/>
        </w:tabs>
        <w:rPr>
          <w:rFonts w:hint="eastAsia" w:ascii="宋体" w:hAnsi="宋体" w:cs="宋体"/>
          <w:b/>
          <w:color w:val="ff0000"/>
          <w:szCs w:val="21"/>
        </w:rPr>
      </w:pPr>
      <w:r/>
      <w:bookmarkStart w:id="10" w:name="_Hlk158135212"/>
      <w:r>
        <w:rPr>
          <w:rFonts w:hint="eastAsia" w:ascii="宋体" w:hAnsi="宋体" w:cs="宋体"/>
          <w:b/>
          <w:color w:val="ff0000"/>
          <w:szCs w:val="21"/>
        </w:rPr>
        <w:t xml:space="preserve">如投标（响应）文件制作机器码信息一致，视为不同投标供应商使用同一台电脑编制投标（响应）文件，投标（响应）无效。</w:t>
      </w:r>
      <w:bookmarkEnd w:id="8"/>
      <w:r/>
      <w:bookmarkEnd w:id="10"/>
      <w:r/>
      <w:r/>
    </w:p>
    <w:p>
      <w:pPr>
        <w:ind w:firstLine="424"/>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3.6技术支持</w:t>
      </w:r>
      <w:r/>
    </w:p>
    <w:p>
      <w:pPr>
        <w:ind w:firstLine="424"/>
        <w:spacing w:line="360" w:lineRule="auto"/>
        <w:tabs>
          <w:tab w:val="left" w:pos="0" w:leader="none"/>
        </w:tabs>
        <w:rPr>
          <w:rFonts w:hint="eastAsia" w:ascii="宋体" w:hAnsi="宋体" w:cs="宋体"/>
          <w:szCs w:val="21"/>
        </w:rPr>
      </w:pPr>
      <w:r>
        <w:rPr>
          <w:rFonts w:hint="eastAsia" w:ascii="宋体" w:hAnsi="宋体" w:cs="宋体"/>
          <w:szCs w:val="21"/>
        </w:rPr>
        <w:t xml:space="preserve">CA技术咨询服务电话：400-608-6099</w:t>
      </w:r>
      <w:r/>
    </w:p>
    <w:p>
      <w:pPr>
        <w:ind w:firstLine="424"/>
        <w:spacing w:line="360" w:lineRule="auto"/>
        <w:tabs>
          <w:tab w:val="left" w:pos="0" w:leader="none"/>
        </w:tabs>
        <w:rPr>
          <w:rFonts w:hint="eastAsia" w:ascii="宋体" w:hAnsi="宋体" w:cs="宋体"/>
          <w:szCs w:val="21"/>
        </w:rPr>
      </w:pPr>
      <w:r>
        <w:rPr>
          <w:rFonts w:hint="eastAsia" w:ascii="宋体" w:hAnsi="宋体" w:cs="宋体"/>
          <w:szCs w:val="21"/>
        </w:rPr>
        <w:t xml:space="preserve">电子签章技术咨询服务电话：15380932027、15371015030 、13675197356、 13675197221 </w:t>
      </w:r>
      <w:r/>
    </w:p>
    <w:p>
      <w:pPr>
        <w:ind w:firstLine="424"/>
        <w:spacing w:line="360" w:lineRule="auto"/>
        <w:tabs>
          <w:tab w:val="left" w:pos="0" w:leader="none"/>
        </w:tabs>
        <w:rPr>
          <w:rFonts w:hint="eastAsia" w:ascii="宋体" w:hAnsi="宋体" w:cs="宋体"/>
          <w:szCs w:val="21"/>
        </w:rPr>
      </w:pPr>
      <w:r/>
      <w:bookmarkStart w:id="11" w:name="_Hlk158135261"/>
      <w:r>
        <w:rPr>
          <w:rFonts w:hint="eastAsia" w:ascii="宋体" w:hAnsi="宋体" w:cs="宋体"/>
          <w:szCs w:val="21"/>
        </w:rPr>
        <w:t xml:space="preserve">“苏采云”平台技术咨询电话：</w:t>
      </w:r>
      <w:bookmarkEnd w:id="11"/>
      <w:r>
        <w:rPr>
          <w:rFonts w:hint="eastAsia" w:ascii="宋体" w:hAnsi="宋体" w:cs="宋体"/>
          <w:szCs w:val="21"/>
        </w:rPr>
        <w:t xml:space="preserve">0512-69820854、0519-86722802、13914088964、18261002950、QQ：3048755361、895706745。</w:t>
      </w:r>
      <w:r/>
    </w:p>
    <w:p>
      <w:pPr>
        <w:ind w:firstLine="424"/>
        <w:spacing w:line="360" w:lineRule="auto"/>
        <w:tabs>
          <w:tab w:val="left" w:pos="0" w:leader="none"/>
        </w:tabs>
      </w:pPr>
      <w:r>
        <w:rPr>
          <w:rFonts w:hint="eastAsia" w:ascii="宋体" w:hAnsi="宋体" w:cs="宋体"/>
          <w:szCs w:val="21"/>
        </w:rPr>
        <w:t xml:space="preserve">智能客服：登录苏采云系统后，联系系统右下方智能客服图标进行咨询。</w:t>
      </w:r>
      <w:r/>
    </w:p>
    <w:p>
      <w:pPr>
        <w:ind w:firstLine="424"/>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3.7投标文件的修改和撤回</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bookmarkStart w:id="12" w:name="_Hlk158135283"/>
      <w:r>
        <w:rPr>
          <w:rFonts w:hint="eastAsia" w:ascii="宋体" w:hAnsi="宋体" w:cs="宋体"/>
          <w:color w:val="000000" w:themeColor="text1"/>
          <w:szCs w:val="21"/>
          <w:lang w:val="zh-CN"/>
          <w14:textFill>
            <w14:solidFill>
              <w14:schemeClr w14:val="tx1"/>
            </w14:solidFill>
          </w14:textFill>
        </w:rPr>
        <w:t xml:space="preserve">投标人在投标截止时间前，</w:t>
      </w:r>
      <w:bookmarkStart w:id="13" w:name="_Hlk132385307"/>
      <w:r/>
      <w:bookmarkStart w:id="14" w:name="_Hlk132387412"/>
      <w:r>
        <w:rPr>
          <w:rFonts w:hint="eastAsia" w:ascii="宋体" w:hAnsi="宋体" w:cs="宋体"/>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2"/>
      <w:r>
        <w:rPr>
          <w:rFonts w:hint="eastAsia" w:ascii="宋体" w:hAnsi="宋体" w:cs="宋体"/>
          <w:color w:val="000000" w:themeColor="text1"/>
          <w:szCs w:val="21"/>
          <w:lang w:val="zh-CN"/>
          <w14:textFill>
            <w14:solidFill>
              <w14:schemeClr w14:val="tx1"/>
            </w14:solidFill>
          </w14:textFill>
        </w:rPr>
        <w:t xml:space="preserve">。</w:t>
      </w:r>
      <w:bookmarkEnd w:id="13"/>
      <w:r/>
      <w:bookmarkEnd w:id="14"/>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开标和评标</w:t>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15" w:name="_Hlk158135325"/>
      <w:r/>
      <w:bookmarkStart w:id="16" w:name="_Hlk90652960"/>
      <w:r/>
      <w:bookmarkStart w:id="17" w:name="_Hlk92794076"/>
      <w:r>
        <w:rPr>
          <w:rFonts w:hint="eastAsia" w:ascii="宋体" w:hAnsi="宋体" w:cs="宋体"/>
          <w:szCs w:val="21"/>
        </w:rPr>
        <w:t xml:space="preserve">本项目为不见面开标（开启）项目，</w:t>
      </w:r>
      <w:r>
        <w:rPr>
          <w:rFonts w:hint="eastAsia" w:ascii="宋体" w:hAnsi="宋体" w:cs="宋体"/>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15"/>
      <w:r>
        <w:rPr>
          <w:rFonts w:hint="eastAsia" w:ascii="宋体" w:hAnsi="宋体" w:cs="宋体"/>
          <w:b/>
          <w:szCs w:val="21"/>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18" w:name="_Hlk158135377"/>
      <w:r>
        <w:rPr>
          <w:rFonts w:hint="eastAsia" w:ascii="宋体" w:hAnsi="宋体" w:cs="宋体"/>
          <w:szCs w:val="21"/>
        </w:rPr>
        <w:t xml:space="preserve">线上参加（观看）开标（开启）会方式：登录“苏采云”系统，点击“开标大厅”，选择对应项目，点击进入不见面开标系统</w:t>
      </w:r>
      <w:r>
        <w:rPr>
          <w:rFonts w:hint="eastAsia" w:ascii="宋体" w:hAnsi="宋体" w:cs="宋体"/>
          <w:color w:val="000000" w:themeColor="text1"/>
          <w:szCs w:val="21"/>
          <w14:textFill>
            <w14:solidFill>
              <w14:schemeClr w14:val="tx1"/>
            </w14:solidFill>
          </w14:textFill>
        </w:rPr>
        <w:t xml:space="preserve">。</w:t>
      </w:r>
      <w:bookmarkEnd w:id="16"/>
      <w:r/>
      <w:bookmarkEnd w:id="18"/>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19" w:name="_Hlk158135390"/>
      <w:r>
        <w:rPr>
          <w:rFonts w:hint="eastAsia" w:ascii="宋体" w:hAnsi="宋体" w:cs="宋体"/>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9"/>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14:textFill>
            <w14:solidFill>
              <w14:schemeClr w14:val="tx1"/>
            </w14:solidFill>
          </w14:textFill>
        </w:rPr>
      </w:pPr>
      <w:r/>
      <w:bookmarkStart w:id="20" w:name="_Hlk158135404"/>
      <w:r/>
      <w:bookmarkStart w:id="21" w:name="_Hlk90653120"/>
      <w:r>
        <w:rPr>
          <w:rFonts w:hint="eastAsia" w:ascii="宋体" w:hAnsi="宋体" w:cs="宋体"/>
          <w:color w:val="000000" w:themeColor="text1"/>
          <w:szCs w:val="21"/>
          <w14:textFill>
            <w14:solidFill>
              <w14:schemeClr w14:val="tx1"/>
            </w14:solidFill>
          </w14:textFill>
        </w:rPr>
        <w:t xml:space="preserve">开标时，投标人</w:t>
      </w:r>
      <w:r>
        <w:rPr>
          <w:rFonts w:hint="eastAsia" w:ascii="宋体" w:hAnsi="宋体" w:cs="宋体"/>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cs="宋体"/>
          <w:b/>
          <w:szCs w:val="21"/>
        </w:rPr>
        <w:t xml:space="preserve">否则导致的对</w:t>
      </w:r>
      <w:r>
        <w:rPr>
          <w:rFonts w:hint="eastAsia" w:ascii="宋体" w:hAnsi="宋体" w:cs="宋体"/>
          <w:b/>
          <w:color w:val="000000" w:themeColor="text1"/>
          <w:szCs w:val="21"/>
          <w14:textFill>
            <w14:solidFill>
              <w14:schemeClr w14:val="tx1"/>
            </w14:solidFill>
          </w14:textFill>
        </w:rPr>
        <w:t xml:space="preserve">投标人</w:t>
      </w:r>
      <w:r>
        <w:rPr>
          <w:rFonts w:hint="eastAsia" w:ascii="宋体" w:hAnsi="宋体" w:cs="宋体"/>
          <w:b/>
          <w:szCs w:val="21"/>
        </w:rPr>
        <w:t xml:space="preserve">不利的后果由供应商自行承担。</w:t>
      </w:r>
      <w:bookmarkEnd w:id="20"/>
      <w:r/>
      <w:bookmarkEnd w:id="21"/>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bookmarkStart w:id="22" w:name="_Hlk90653182"/>
      <w:r>
        <w:rPr>
          <w:rFonts w:hint="eastAsia" w:ascii="宋体" w:hAnsi="宋体" w:cs="宋体"/>
          <w:szCs w:val="21"/>
        </w:rPr>
        <w:t xml:space="preserve">投标人在“苏采云”系统规定的时间内未成功解密电子投标文件的，</w:t>
      </w:r>
      <w:r>
        <w:rPr>
          <w:rFonts w:hint="eastAsia" w:ascii="宋体" w:hAnsi="宋体" w:cs="宋体"/>
          <w:b/>
          <w:szCs w:val="21"/>
        </w:rPr>
        <w:t xml:space="preserve">投标无效</w:t>
      </w:r>
      <w:r>
        <w:rPr>
          <w:rFonts w:hint="eastAsia" w:ascii="宋体" w:hAnsi="宋体" w:cs="宋体"/>
          <w:szCs w:val="21"/>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b/>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themeColor="text1"/>
          <w:szCs w:val="21"/>
          <w14:textFill>
            <w14:solidFill>
              <w14:schemeClr w14:val="tx1"/>
            </w14:solidFill>
          </w14:textFill>
        </w:rPr>
        <w:t xml:space="preserve">。</w:t>
      </w:r>
      <w:bookmarkEnd w:id="22"/>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至投标文件提交截止时间，</w:t>
      </w:r>
      <w:r>
        <w:rPr>
          <w:rFonts w:hint="eastAsia" w:ascii="宋体" w:hAnsi="宋体" w:cs="宋体"/>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开标在招标文件规定的时间、地点进行，由采购人或采购代理机构主持，邀请投标人参加（观看），评标委员会成员不得参加开标活动。</w:t>
      </w:r>
      <w:bookmarkEnd w:id="17"/>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资格审查</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开标结束后，采购人应当依法对投标人的资格进行审查，</w:t>
      </w:r>
      <w:r>
        <w:rPr>
          <w:rFonts w:hint="eastAsia" w:ascii="宋体" w:hAnsi="宋体" w:cs="宋体"/>
          <w:b/>
          <w:color w:val="000000" w:themeColor="text1"/>
          <w:szCs w:val="21"/>
          <w14:textFill>
            <w14:solidFill>
              <w14:schemeClr w14:val="tx1"/>
            </w14:solidFill>
          </w14:textFill>
        </w:rPr>
        <w:t xml:space="preserve">未通过资格审查的投标无效。</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信用查询：根据苏州市财政局《关于印发苏州市市级政府采购信用记录查询和使用工作试行办法的通知》（苏财购（2017）11号）文件的规定，采购人、采购代理机构对供应商进行信用查询。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查询时间：投标文件提交截止时间。</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3" w:name="_Hlk132385414"/>
      <w:r>
        <w:rPr>
          <w:rFonts w:hint="eastAsia" w:ascii="宋体" w:hAnsi="宋体" w:cs="宋体"/>
          <w:color w:val="000000" w:themeColor="text1"/>
          <w:szCs w:val="21"/>
          <w14:textFill>
            <w14:solidFill>
              <w14:schemeClr w14:val="tx1"/>
            </w14:solidFill>
          </w14:textFill>
        </w:rPr>
        <w:t xml:space="preserve">查询渠道：</w:t>
      </w:r>
      <w:bookmarkEnd w:id="23"/>
      <w:r>
        <w:rPr>
          <w:rFonts w:hint="eastAsia" w:ascii="宋体" w:hAnsi="宋体" w:cs="宋体"/>
          <w:color w:val="000000" w:themeColor="text1"/>
          <w:szCs w:val="21"/>
          <w14:textFill>
            <w14:solidFill>
              <w14:schemeClr w14:val="tx1"/>
            </w14:solidFill>
          </w14:textFill>
        </w:rPr>
        <w:t xml:space="preserve">通过“信用中国”、“信用江苏”及“中国政府采购网”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4" w:name="_Hlk92794284"/>
      <w:r>
        <w:rPr>
          <w:rFonts w:hint="eastAsia" w:ascii="宋体" w:hAnsi="宋体" w:cs="宋体"/>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ascii="宋体" w:hAnsi="宋体" w:cs="宋体"/>
          <w:color w:val="000000" w:themeColor="text1"/>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）确认。</w:t>
      </w:r>
      <w:r>
        <w:rPr>
          <w:rFonts w:hint="eastAsia" w:ascii="宋体" w:hAnsi="宋体" w:cs="宋体"/>
          <w:color w:val="000000" w:themeColor="text1"/>
          <w:szCs w:val="21"/>
          <w:lang w:val="zh-CN"/>
          <w14:textFill>
            <w14:solidFill>
              <w14:schemeClr w14:val="tx1"/>
            </w14:solidFill>
          </w14:textFill>
        </w:rPr>
        <w:t xml:space="preserve">采购代理机构工作人员应登陆到来源网站页面进行复核并打印，</w:t>
      </w:r>
      <w:r>
        <w:rPr>
          <w:rFonts w:hint="eastAsia" w:ascii="宋体" w:hAnsi="宋体" w:cs="宋体"/>
          <w:color w:val="000000" w:themeColor="text1"/>
          <w:szCs w:val="21"/>
          <w14:textFill>
            <w14:solidFill>
              <w14:schemeClr w14:val="tx1"/>
            </w14:solidFill>
          </w14:textFill>
        </w:rPr>
        <w:t xml:space="preserve">作为证据留存。</w:t>
      </w:r>
      <w:bookmarkEnd w:id="24"/>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color w:val="000000" w:themeColor="text1"/>
          <w:szCs w:val="21"/>
          <w14:textFill>
            <w14:solidFill>
              <w14:schemeClr w14:val="tx1"/>
            </w14:solidFill>
          </w14:textFill>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（二）财政部门与法院、工商、税务等部门联合惩戒的失信信息，包括：</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（1）被列入失信被执行人名单；</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（2）被列入重大税收违法案件当事人名单；</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bookmarkStart w:id="25" w:name="_Hlk132385441"/>
      <w:r>
        <w:rPr>
          <w:rFonts w:hint="eastAsia" w:ascii="宋体" w:hAnsi="宋体" w:cs="宋体"/>
          <w:color w:val="000000" w:themeColor="text1"/>
          <w:szCs w:val="21"/>
          <w14:textFill>
            <w14:solidFill>
              <w14:schemeClr w14:val="tx1"/>
            </w14:solidFill>
          </w14:textFill>
        </w:rPr>
        <w:t xml:space="preserve">（3）</w:t>
      </w:r>
      <w:bookmarkStart w:id="26" w:name="_Hlk92794362"/>
      <w:r>
        <w:rPr>
          <w:rFonts w:hint="eastAsia" w:ascii="宋体" w:hAnsi="宋体" w:cs="宋体"/>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25"/>
      <w:r/>
      <w:bookmarkEnd w:id="26"/>
      <w:r/>
      <w:bookmarkStart w:id="27" w:name="_Hlk92794378"/>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8" w:name="_Hlk132387520"/>
      <w:r/>
      <w:bookmarkStart w:id="29" w:name="_Hlk132385499"/>
      <w:r>
        <w:rPr>
          <w:rFonts w:hint="eastAsia" w:ascii="宋体" w:hAnsi="宋体" w:cs="宋体"/>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7"/>
      <w:r/>
      <w:bookmarkEnd w:id="28"/>
      <w:r/>
      <w:bookmarkEnd w:id="29"/>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评标委员会</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宋体" w:hAnsi="宋体" w:cs="宋体"/>
          <w:szCs w:val="21"/>
        </w:rPr>
        <w:t xml:space="preserve">且人员构成符合政府采购有关规定，评标委员会</w:t>
      </w:r>
      <w:r>
        <w:rPr>
          <w:rFonts w:hint="eastAsia" w:ascii="宋体" w:hAnsi="宋体" w:cs="宋体"/>
          <w:color w:val="000000" w:themeColor="text1"/>
          <w:szCs w:val="21"/>
          <w14:textFill>
            <w14:solidFill>
              <w14:schemeClr w14:val="tx1"/>
            </w14:solidFill>
          </w14:textFill>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(三)与投标人有其他可能影响政府采购活动公平、公正进行的关系。</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宋体" w:hAnsi="宋体" w:cs="宋体"/>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价格修</w:t>
      </w:r>
      <w:r>
        <w:rPr>
          <w:rFonts w:hint="eastAsia" w:ascii="宋体" w:hAnsi="宋体" w:cs="宋体"/>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w:t>
      </w:r>
      <w:r>
        <w:rPr>
          <w:rFonts w:hint="eastAsia" w:cs="宋体"/>
          <w:b/>
          <w:color w:val="000000" w:themeColor="text1"/>
          <w:szCs w:val="21"/>
          <w14:textFill>
            <w14:solidFill>
              <w14:schemeClr w14:val="tx1"/>
            </w14:solidFill>
          </w14:textFill>
        </w:rPr>
        <w:t xml:space="preserve">评审委员会启动异常低价投标（响应）审查的情形和具体要求，包括</w:t>
      </w:r>
      <w:r>
        <w:rPr>
          <w:rFonts w:hint="eastAsia" w:ascii="宋体" w:hAnsi="宋体" w:cs="宋体"/>
          <w:b/>
          <w:color w:val="000000" w:themeColor="text1"/>
          <w:szCs w:val="21"/>
          <w:lang w:val="zh-CN"/>
          <w14:textFill>
            <w14:solidFill>
              <w14:schemeClr w14:val="tx1"/>
            </w14:solidFill>
          </w14:textFill>
        </w:rPr>
        <w:t xml:space="preserve">：</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3.投标（响应）报价低于采购项目最高限价45%的，即投标（响应）报价&lt;采购项目最高限价×45%；</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4.评审委员会基于专业判断，认为供应商报价过低，有可能影响产品质量或者不能诚信履约的其他情形。</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cs="宋体"/>
          <w:b/>
          <w:color w:val="000000" w:themeColor="text1"/>
          <w:szCs w:val="21"/>
          <w14:textFill>
            <w14:solidFill>
              <w14:schemeClr w14:val="tx1"/>
            </w14:solidFill>
          </w14:textFill>
        </w:rPr>
        <w:t xml:space="preserve">4.4.2.4</w:t>
      </w:r>
      <w:r>
        <w:rPr>
          <w:rFonts w:ascii="宋体" w:hAnsi="宋体" w:cs="宋体"/>
          <w:b/>
          <w:color w:val="000000" w:themeColor="text1"/>
          <w:szCs w:val="21"/>
          <w14:textFill>
            <w14:solidFill>
              <w14:schemeClr w14:val="tx1"/>
            </w14:solidFill>
          </w14:textFill>
        </w:rPr>
        <w:t xml:space="preserve">第3项情形，供应商已随投标（响应）文件一并提交相关书面说明及必要的证明材料的，在评审现场可不再重复提交。</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4"/>
        <w:spacing w:line="360" w:lineRule="auto"/>
        <w:tabs>
          <w:tab w:val="left" w:pos="540" w:leader="none"/>
        </w:tabs>
        <w:rPr>
          <w:rFonts w:hint="eastAsia"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投标的澄清</w:t>
      </w:r>
      <w:r/>
    </w:p>
    <w:p>
      <w:pPr>
        <w:ind w:firstLine="540"/>
        <w:spacing w:line="360" w:lineRule="auto"/>
        <w:tabs>
          <w:tab w:val="left" w:pos="0" w:leader="none"/>
        </w:tabs>
        <w:rPr>
          <w:rFonts w:hint="eastAsia" w:ascii="宋体" w:hAnsi="宋体" w:cs="宋体"/>
          <w:color w:val="000000" w:themeColor="text1"/>
          <w:szCs w:val="21"/>
          <w14:textFill>
            <w14:solidFill>
              <w14:schemeClr w14:val="tx1"/>
            </w14:solidFill>
          </w14:textFill>
        </w:rPr>
      </w:pPr>
      <w:r/>
      <w:bookmarkStart w:id="30" w:name="_Hlk91004008"/>
      <w:r>
        <w:rPr>
          <w:rFonts w:hint="eastAsia" w:ascii="宋体" w:hAnsi="宋体" w:cs="宋体"/>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numPr>
          <w:ilvl w:val="3"/>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bookmarkStart w:id="31" w:name="_Hlk90653732"/>
      <w:r>
        <w:rPr>
          <w:rFonts w:hint="eastAsia" w:ascii="宋体" w:hAnsi="宋体" w:cs="宋体"/>
          <w:szCs w:val="21"/>
        </w:rPr>
        <w:t xml:space="preserve">本项目采用</w:t>
      </w:r>
      <w:r>
        <w:rPr>
          <w:rFonts w:hint="eastAsia" w:ascii="宋体" w:hAnsi="宋体" w:cs="宋体"/>
          <w:b/>
          <w:szCs w:val="21"/>
        </w:rPr>
        <w:t xml:space="preserve">线上澄清</w:t>
      </w:r>
      <w:r>
        <w:rPr>
          <w:rFonts w:hint="eastAsia" w:ascii="宋体" w:hAnsi="宋体" w:cs="宋体"/>
          <w:b/>
          <w:color w:val="000000" w:themeColor="text1"/>
          <w:szCs w:val="21"/>
          <w14:textFill>
            <w14:solidFill>
              <w14:schemeClr w14:val="tx1"/>
            </w14:solidFill>
          </w14:textFill>
        </w:rPr>
        <w:t xml:space="preserve">。</w:t>
      </w:r>
      <w:r/>
    </w:p>
    <w:p>
      <w:pPr>
        <w:numPr>
          <w:ilvl w:val="3"/>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线上澄清答复的方式：</w:t>
      </w:r>
      <w:bookmarkStart w:id="32" w:name="_Hlk158140589"/>
      <w:r>
        <w:rPr>
          <w:rFonts w:hint="eastAsia" w:ascii="宋体" w:hAnsi="宋体" w:cs="宋体"/>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cs="宋体"/>
          <w:b/>
          <w:szCs w:val="21"/>
        </w:rPr>
        <w:t xml:space="preserve">未加盖CA电子公章的澄清无效</w:t>
      </w:r>
      <w:bookmarkEnd w:id="32"/>
      <w:r>
        <w:rPr>
          <w:rFonts w:hint="eastAsia" w:ascii="宋体" w:hAnsi="宋体" w:cs="宋体"/>
          <w:b/>
          <w:szCs w:val="21"/>
        </w:rPr>
        <w:t xml:space="preserve">。</w:t>
      </w:r>
      <w:bookmarkEnd w:id="31"/>
      <w:r/>
      <w:bookmarkStart w:id="33" w:name="_Hlk76572855"/>
      <w:r/>
      <w:bookmarkStart w:id="34" w:name="_Hlk90656398"/>
      <w:r/>
      <w:r/>
    </w:p>
    <w:p>
      <w:pPr>
        <w:numPr>
          <w:ilvl w:val="3"/>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接到澄清、说明和更正要求的供应商如未按规定做出澄清、说明和更正，其风险由供应商自行承担。</w:t>
      </w:r>
      <w:bookmarkEnd w:id="30"/>
      <w:r/>
      <w:bookmarkEnd w:id="33"/>
      <w:r/>
      <w:bookmarkEnd w:id="34"/>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中标</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评标委员会在确定的中标候选人名单中按顺序确定中标人，中标候选人并列的，按照招标文件规定的方式确定中标人；招标文件未规定的，采取随机抽取的方式确定。</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采购人或者采购代理机构应当自中标人确定之日起2个工作日内将中标人在政府采购信息媒体上发布中标公告，中标公告期限为1个工作日。</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35" w:name="_Hlk132385622"/>
      <w:r>
        <w:rPr>
          <w:rFonts w:hint="eastAsia" w:ascii="宋体" w:hAnsi="宋体" w:cs="宋体"/>
          <w:color w:val="000000" w:themeColor="text1"/>
          <w:szCs w:val="21"/>
          <w14:textFill>
            <w14:solidFill>
              <w14:schemeClr w14:val="tx1"/>
            </w14:solidFill>
          </w14:textFill>
        </w:rPr>
        <w:t xml:space="preserve">在公告中标结果的同时，</w:t>
      </w:r>
      <w:bookmarkStart w:id="36" w:name="_Hlk158140757"/>
      <w:r>
        <w:rPr>
          <w:rFonts w:hint="eastAsia" w:ascii="宋体" w:hAnsi="宋体" w:cs="宋体"/>
          <w:color w:val="000000" w:themeColor="text1"/>
          <w:szCs w:val="21"/>
          <w14:textFill>
            <w14:solidFill>
              <w14:schemeClr w14:val="tx1"/>
            </w14:solidFill>
          </w14:textFill>
        </w:rPr>
        <w:t xml:space="preserve">采购人或者采购代理机构应当向中标人发出中标通知</w:t>
      </w:r>
      <w:bookmarkStart w:id="37" w:name="_Hlk132385599"/>
      <w:r>
        <w:rPr>
          <w:rFonts w:hint="eastAsia" w:ascii="宋体" w:hAnsi="宋体" w:cs="宋体"/>
          <w:color w:val="000000" w:themeColor="text1"/>
          <w:szCs w:val="21"/>
          <w14:textFill>
            <w14:solidFill>
              <w14:schemeClr w14:val="tx1"/>
            </w14:solidFill>
          </w14:textFill>
        </w:rPr>
        <w:t xml:space="preserve">书</w:t>
      </w:r>
      <w:bookmarkStart w:id="38" w:name="_Hlk132385577"/>
      <w:r>
        <w:rPr>
          <w:rFonts w:hint="eastAsia" w:ascii="宋体" w:hAnsi="宋体" w:cs="宋体"/>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宋体" w:hAnsi="宋体" w:cs="宋体"/>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36"/>
      <w:r>
        <w:rPr>
          <w:rFonts w:hint="eastAsia" w:ascii="宋体" w:hAnsi="宋体" w:cs="宋体"/>
          <w:color w:val="000000" w:themeColor="text1"/>
          <w:szCs w:val="21"/>
          <w14:textFill>
            <w14:solidFill>
              <w14:schemeClr w14:val="tx1"/>
            </w14:solidFill>
          </w14:textFill>
        </w:rPr>
        <w:t xml:space="preserve">；</w:t>
      </w:r>
      <w:bookmarkEnd w:id="37"/>
      <w:r/>
      <w:bookmarkEnd w:id="38"/>
      <w:r>
        <w:rPr>
          <w:rFonts w:hint="eastAsia" w:ascii="宋体" w:hAnsi="宋体" w:cs="宋体"/>
          <w:color w:val="000000" w:themeColor="text1"/>
          <w:szCs w:val="21"/>
          <w14:textFill>
            <w14:solidFill>
              <w14:schemeClr w14:val="tx1"/>
            </w14:solidFill>
          </w14:textFill>
        </w:rPr>
        <w:t xml:space="preserve">对未通过资格审查的投标人，应当告知其未通过的原因；</w:t>
      </w:r>
      <w:bookmarkEnd w:id="35"/>
      <w:r>
        <w:rPr>
          <w:rFonts w:hint="eastAsia" w:ascii="宋体" w:hAnsi="宋体" w:cs="宋体"/>
          <w:color w:val="000000" w:themeColor="text1"/>
          <w:szCs w:val="21"/>
          <w14:textFill>
            <w14:solidFill>
              <w14:schemeClr w14:val="tx1"/>
            </w14:solidFill>
          </w14:textFill>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履约保证金：</w:t>
      </w:r>
      <w:r>
        <w:rPr>
          <w:rFonts w:ascii="宋体" w:hAnsi="宋体" w:cs="宋体"/>
          <w:color w:val="000000"/>
        </w:rPr>
        <w:t xml:space="preserve">本项目无需缴纳。</w:t>
      </w:r>
      <w:r>
        <w:rPr>
          <w:rFonts w:hint="eastAsia" w:ascii="宋体" w:hAnsi="宋体" w:cs="宋体"/>
          <w:szCs w:val="21"/>
        </w:rPr>
        <w:t xml:space="preserve"> </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hint="eastAsia" w:ascii="宋体" w:hAnsi="宋体" w:cs="宋体"/>
        </w:rPr>
        <w:t xml:space="preserve">原则上</w:t>
      </w:r>
      <w:r>
        <w:rPr>
          <w:rFonts w:hint="eastAsia" w:ascii="宋体" w:hAnsi="宋体" w:cs="宋体"/>
          <w:color w:val="000000" w:themeColor="text1"/>
          <w:szCs w:val="21"/>
          <w14:textFill>
            <w14:solidFill>
              <w14:schemeClr w14:val="tx1"/>
            </w14:solidFill>
          </w14:textFill>
        </w:rPr>
        <w:t xml:space="preserve">应当自中标通知书发出之日起15日内（最迟30日内），按照招标文件及投标文件规定与中标人签订书面合同。</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39" w:name="_Hlk132385648"/>
      <w:r>
        <w:rPr>
          <w:rFonts w:hint="eastAsia" w:ascii="宋体" w:hAnsi="宋体" w:cs="宋体"/>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39"/>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质疑</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供应商认为采购文件、采购过程和采购结果使自己的权益受到损害的，可以在知道或应知其权益受</w:t>
      </w:r>
      <w:r>
        <w:rPr>
          <w:rFonts w:hint="eastAsia" w:ascii="宋体" w:hAnsi="宋体" w:cs="宋体"/>
          <w:color w:val="000000" w:themeColor="text1"/>
          <w:szCs w:val="21"/>
          <w14:textFill>
            <w14:solidFill>
              <w14:schemeClr w14:val="tx1"/>
            </w14:solidFill>
          </w14:textFill>
        </w:rPr>
        <w:t xml:space="preserve">到损害之日起七个工作日内，以书面形式根据下述9.5、9.6条款的规定向代理机构或采购人提出质疑。上述应知其权益受到损害之日，是指：</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542"/>
        <w:spacing w:line="360" w:lineRule="auto"/>
        <w:tabs>
          <w:tab w:val="left" w:pos="0" w:leader="none"/>
        </w:tabs>
        <w:rPr>
          <w:rFonts w:hint="eastAsia" w:ascii="宋体" w:hAnsi="宋体" w:cs="宋体"/>
          <w:b/>
          <w:szCs w:val="21"/>
        </w:rPr>
      </w:pPr>
      <w:r>
        <w:rPr>
          <w:rFonts w:hint="eastAsia" w:ascii="宋体" w:hAnsi="宋体" w:cs="宋体"/>
          <w:b/>
          <w:szCs w:val="21"/>
        </w:rPr>
        <w:t xml:space="preserve">对采购文件内容质疑时，需提供在</w:t>
      </w:r>
      <w:r>
        <w:rPr>
          <w:rFonts w:hint="eastAsia" w:ascii="宋体" w:hAnsi="宋体" w:cs="宋体"/>
          <w:b/>
          <w:color w:val="000000" w:themeColor="text1"/>
          <w14:textFill>
            <w14:solidFill>
              <w14:schemeClr w14:val="tx1"/>
            </w14:solidFill>
          </w14:textFill>
        </w:rPr>
        <w:t xml:space="preserve">“苏采云”</w:t>
      </w:r>
      <w:r>
        <w:rPr>
          <w:rFonts w:hint="eastAsia" w:ascii="宋体" w:hAnsi="宋体" w:cs="宋体"/>
          <w:b/>
          <w:szCs w:val="21"/>
        </w:rPr>
        <w:t xml:space="preserve">系统中下载本项目招标文件的</w:t>
      </w:r>
      <w:r>
        <w:rPr>
          <w:rFonts w:hint="eastAsia" w:ascii="宋体" w:hAnsi="宋体" w:cs="宋体"/>
          <w:b/>
          <w:color w:val="000000" w:themeColor="text1"/>
          <w14:textFill>
            <w14:solidFill>
              <w14:schemeClr w14:val="tx1"/>
            </w14:solidFill>
          </w14:textFill>
        </w:rPr>
        <w:t xml:space="preserve">《投标供应商确认函》</w:t>
      </w:r>
      <w:r>
        <w:rPr>
          <w:rFonts w:hint="eastAsia" w:ascii="宋体" w:hAnsi="宋体" w:cs="宋体"/>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宋体" w:hAnsi="宋体" w:cs="宋体"/>
          <w:b/>
          <w:szCs w:val="21"/>
        </w:rPr>
        <w:t xml:space="preserve">由采购人负责答复</w:t>
      </w:r>
      <w:r>
        <w:rPr>
          <w:rFonts w:hint="eastAsia" w:ascii="宋体" w:hAnsi="宋体" w:cs="宋体"/>
          <w:szCs w:val="21"/>
        </w:rPr>
        <w:t xml:space="preserve">。</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采购人联系电话：0512-65285586</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采购人通讯地址：苏州市吴中区澹台街9号</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供应商对除上述事项以外其他事项的询问、质疑请向代理机构提出，</w:t>
      </w:r>
      <w:r>
        <w:rPr>
          <w:rFonts w:hint="eastAsia" w:ascii="宋体" w:hAnsi="宋体" w:cs="宋体"/>
          <w:b/>
          <w:szCs w:val="21"/>
        </w:rPr>
        <w:t xml:space="preserve">采购人委托代理机构负责答复。</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代理机构联系电话：0512-68301744</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代理机构通讯地址：苏州市彩香路6号金阊科技产业园3号楼3301</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宋体" w:hAnsi="宋体" w:cs="宋体"/>
          <w:bCs/>
          <w:szCs w:val="21"/>
        </w:rPr>
      </w:pPr>
      <w:r>
        <w:rPr>
          <w:rFonts w:hint="eastAsia" w:ascii="宋体" w:hAnsi="宋体" w:cs="宋体"/>
          <w:color w:val="000000" w:themeColor="text1"/>
          <w:szCs w:val="21"/>
          <w14:textFill>
            <w14:solidFill>
              <w14:schemeClr w14:val="tx1"/>
            </w14:solidFill>
          </w14:textFill>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其他事项</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未尽事宜按《中华人民共和国政府采购法》及其他有关法律法规文件的规定执行。</w:t>
      </w:r>
      <w:r>
        <w:rPr>
          <w:rFonts w:hint="eastAsia" w:ascii="宋体" w:hAnsi="宋体" w:cs="宋体"/>
          <w:color w:val="000000" w:themeColor="text1"/>
          <w:szCs w:val="21"/>
          <w14:textFill>
            <w14:solidFill>
              <w14:schemeClr w14:val="tx1"/>
            </w14:solidFill>
          </w14:textFill>
        </w:rPr>
        <w:br w:type="page" w:clear="all"/>
      </w:r>
      <w:r/>
    </w:p>
    <w:p>
      <w:pPr>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第三章  </w:t>
      </w:r>
      <w:bookmarkStart w:id="40" w:name="投标文件格式"/>
      <w:r>
        <w:rPr>
          <w:rFonts w:hint="eastAsia" w:ascii="宋体" w:hAnsi="宋体" w:cs="宋体"/>
          <w:bCs/>
          <w:color w:val="000000" w:themeColor="text1"/>
          <w:sz w:val="44"/>
          <w:szCs w:val="44"/>
          <w14:textFill>
            <w14:solidFill>
              <w14:schemeClr w14:val="tx1"/>
            </w14:solidFill>
          </w14:textFill>
        </w:rPr>
        <w:t xml:space="preserve">投标文件格式</w:t>
      </w:r>
      <w:bookmarkEnd w:id="40"/>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说明：</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68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 </w:t>
      </w:r>
      <w:r>
        <w:rPr>
          <w:rFonts w:hint="eastAsia" w:ascii="宋体" w:hAnsi="宋体" w:cs="宋体"/>
          <w:szCs w:val="21"/>
        </w:rPr>
        <w:t xml:space="preserve">授权</w:t>
      </w:r>
      <w:r>
        <w:rPr>
          <w:rFonts w:hint="eastAsia" w:ascii="宋体" w:hAnsi="宋体" w:cs="宋体"/>
          <w:szCs w:val="21"/>
          <w:u w:val="single"/>
        </w:rPr>
        <w:t xml:space="preserve">（被授权人的姓名）_</w:t>
      </w:r>
      <w:r>
        <w:rPr>
          <w:rFonts w:hint="eastAsia" w:ascii="宋体" w:hAnsi="宋体" w:cs="宋体"/>
          <w:szCs w:val="21"/>
        </w:rPr>
        <w:t xml:space="preserve">为我方授权代表（即代理人），参加</w:t>
      </w:r>
      <w:r>
        <w:rPr>
          <w:rFonts w:hint="eastAsia" w:ascii="宋体" w:hAnsi="宋体" w:cs="宋体"/>
          <w:szCs w:val="21"/>
          <w:u w:val="single"/>
        </w:rPr>
        <w:t xml:space="preserve">苏州诚联招投标咨询服务有限公司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   （采购编号）   </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ind w:firstLine="6090"/>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right="630" w:firstLine="48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hint="eastAsia" w:ascii="宋体" w:hAnsi="宋体" w:cs="宋体"/>
          <w:szCs w:val="21"/>
        </w:rPr>
      </w:pPr>
      <w:r>
        <w:rPr>
          <w:rFonts w:hint="eastAsia" w:ascii="宋体" w:hAnsi="宋体" w:cs="宋体"/>
          <w:szCs w:val="21"/>
        </w:rPr>
      </w:r>
      <w:r/>
    </w:p>
    <w:p>
      <w:pPr>
        <w:ind w:right="630" w:firstLine="480"/>
        <w:jc w:val="left"/>
        <w:spacing w:line="360" w:lineRule="auto"/>
        <w:rPr>
          <w:rFonts w:hint="eastAsia" w:ascii="宋体" w:hAnsi="宋体" w:cs="宋体"/>
          <w:szCs w:val="21"/>
        </w:rPr>
      </w:pPr>
      <w:r>
        <w:rPr>
          <w:rFonts w:hint="eastAsia" w:ascii="宋体" w:hAnsi="宋体" w:cs="宋体"/>
          <w:szCs w:val="21"/>
        </w:rPr>
        <w:t xml:space="preserve">后附：代理人身份证扫描件</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备注：供应商如有授权委托，必须提供该法人授权委托书及代理人身份证，否则投标无效；</w:t>
      </w:r>
      <w:r/>
    </w:p>
    <w:p>
      <w:pPr>
        <w:pStyle w:val="1063"/>
        <w:ind w:firstLine="637"/>
        <w:spacing w:line="360" w:lineRule="auto"/>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sz w:val="21"/>
          <w:szCs w:val="21"/>
        </w:rPr>
        <w:t xml:space="preserve">供应商无授权委托的情况下，必须提供法定代表人身份证，否则投标无效。</w:t>
      </w:r>
      <w:r/>
    </w:p>
    <w:p>
      <w:pPr>
        <w:pStyle w:val="67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063"/>
        <w:jc w:val="center"/>
        <w:spacing w:line="360" w:lineRule="auto"/>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color w:val="000000" w:themeColor="text1"/>
          <w:sz w:val="21"/>
          <w:szCs w:val="21"/>
          <w14:textFill>
            <w14:solidFill>
              <w14:schemeClr w14:val="tx1"/>
            </w14:solidFill>
          </w14:textFill>
        </w:rPr>
        <w:br w:type="page" w:clear="all"/>
      </w:r>
      <w:r>
        <w:rPr>
          <w:rFonts w:hint="eastAsia" w:hAnsi="宋体" w:eastAsia="宋体" w:cs="宋体"/>
          <w:b/>
          <w:color w:val="000000" w:themeColor="text1"/>
          <w:sz w:val="21"/>
          <w:szCs w:val="21"/>
          <w14:textFill>
            <w14:solidFill>
              <w14:schemeClr w14:val="tx1"/>
            </w14:solidFill>
          </w14:textFill>
        </w:rPr>
        <w:t xml:space="preserve">二、开标一览表</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开标一览表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678"/>
        <w:tblW w:w="90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6707"/>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投标总报价</w:t>
            </w:r>
            <w:r/>
          </w:p>
          <w:p>
            <w:pPr>
              <w:pStyle w:val="679"/>
              <w:ind w:left="0"/>
              <w:jc w:val="center"/>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单位：（元）</w:t>
            </w:r>
            <w:r/>
          </w:p>
          <w:p>
            <w:pPr>
              <w:pStyle w:val="679"/>
              <w:ind w:lef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人民币</w:t>
            </w:r>
            <w:r/>
          </w:p>
        </w:tc>
        <w:tc>
          <w:tcPr>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Style w:val="67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67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eastAsia="宋体" w:cs="宋体"/>
          <w:color w:val="000000" w:themeColor="text1"/>
          <w:szCs w:val="21"/>
          <w:lang w:val="zh-CN" w:eastAsia="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注：本表中的报价为综合报价，</w:t>
      </w:r>
      <w:r>
        <w:rPr>
          <w:rFonts w:hint="eastAsia" w:ascii="宋体" w:hAnsi="宋体" w:cs="宋体"/>
          <w:bCs/>
          <w:szCs w:val="21"/>
        </w:rPr>
        <w:t xml:space="preserve">总报价</w:t>
      </w:r>
      <w:r>
        <w:rPr>
          <w:rFonts w:hint="eastAsia" w:ascii="宋体" w:hAnsi="宋体" w:cs="宋体"/>
          <w:color w:val="000000" w:themeColor="text1"/>
          <w:szCs w:val="21"/>
          <w:lang w:val="zh-CN"/>
          <w14:textFill>
            <w14:solidFill>
              <w14:schemeClr w14:val="tx1"/>
            </w14:solidFill>
          </w14:textFill>
        </w:rPr>
        <w:t xml:space="preserve">应</w:t>
      </w:r>
      <w:r>
        <w:rPr>
          <w:rFonts w:hint="eastAsia" w:hAnsi="宋体" w:eastAsia="宋体" w:cs="宋体"/>
          <w:color w:val="000000" w:themeColor="text1"/>
          <w:sz w:val="21"/>
          <w:szCs w:val="21"/>
          <w14:textFill>
            <w14:solidFill>
              <w14:schemeClr w14:val="tx1"/>
            </w14:solidFill>
          </w14:textFill>
        </w:rPr>
        <w:t xml:space="preserve">包括全部货物、拆除、无害化处理、劳务、管理、材料、辅助材料、安装、调试、维护、施工、人工、机械、运输、装卸、仓储、垃圾清扫和搬运、有关部门的检测、检验、整改、验收、保险、利润、税金、政策性文件规定及本项目包含的所有风险、责任等各项应有费用</w:t>
      </w:r>
      <w:r>
        <w:rPr>
          <w:rFonts w:hint="eastAsia" w:hAnsi="宋体" w:cs="宋体"/>
          <w:color w:val="000000" w:themeColor="text1"/>
          <w:sz w:val="21"/>
          <w:szCs w:val="21"/>
          <w:lang w:eastAsia="zh-CN"/>
          <w14:textFill>
            <w14:solidFill>
              <w14:schemeClr w14:val="tx1"/>
            </w14:solidFill>
          </w14:textFill>
        </w:rPr>
        <w:t xml:space="preserve">。</w:t>
      </w:r>
      <w:r/>
    </w:p>
    <w:p>
      <w:pPr>
        <w:pStyle w:val="679"/>
        <w:rPr>
          <w:rFonts w:hint="eastAsia" w:ascii="宋体" w:hAnsi="宋体" w:cs="宋体"/>
        </w:rPr>
      </w:pPr>
      <w:r>
        <w:rPr>
          <w:rFonts w:hint="eastAsia" w:ascii="宋体" w:hAnsi="宋体" w:cs="宋体"/>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三、投标报价明细表</w:t>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投标报价明细表</w:t>
      </w:r>
      <w:r/>
    </w:p>
    <w:p>
      <w:pPr>
        <w:pStyle w:val="689"/>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tabs>
          <w:tab w:val="left" w:pos="7635" w:leader="none"/>
        </w:tabs>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lang w:val="zh-CN"/>
          <w14:textFill>
            <w14:solidFill>
              <w14:schemeClr w14:val="tx1"/>
            </w14:solidFill>
          </w14:textFill>
        </w:rPr>
        <w:tab/>
      </w:r>
      <w:r>
        <w:rPr>
          <w:rFonts w:hint="eastAsia" w:ascii="宋体" w:hAnsi="宋体" w:cs="宋体"/>
          <w:color w:val="000000" w:themeColor="text1"/>
          <w:szCs w:val="21"/>
          <w:lang w:val="zh-CN"/>
          <w14:textFill>
            <w14:solidFill>
              <w14:schemeClr w14:val="tx1"/>
            </w14:solidFill>
          </w14:textFill>
        </w:rPr>
        <w:t xml:space="preserve">单位（人民币）：元</w:t>
      </w:r>
      <w:r/>
    </w:p>
    <w:tbl>
      <w:tblPr>
        <w:tblStyle w:val="678"/>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spacing w:val="20"/>
                <w:szCs w:val="24"/>
              </w:rPr>
            </w:pPr>
            <w:r>
              <w:rPr>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spacing w:val="20"/>
                <w:szCs w:val="24"/>
              </w:rPr>
            </w:pPr>
            <w:r>
              <w:rPr>
                <w:spacing w:val="20"/>
                <w:szCs w:val="24"/>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spacing w:val="20"/>
                <w:szCs w:val="24"/>
              </w:rPr>
            </w:pPr>
            <w:r>
              <w:rPr>
                <w:spacing w:val="20"/>
                <w:szCs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pacing w:val="20"/>
                <w:szCs w:val="24"/>
              </w:rPr>
            </w:pPr>
            <w:r>
              <w:rPr>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pacing w:val="20"/>
                <w:szCs w:val="24"/>
              </w:rPr>
            </w:pPr>
            <w:r>
              <w:rPr>
                <w:spacing w:val="20"/>
                <w:szCs w:val="24"/>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pacing w:val="20"/>
                <w:szCs w:val="24"/>
              </w:rPr>
            </w:pPr>
            <w:r>
              <w:rPr>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pacing w:val="20"/>
                <w:szCs w:val="24"/>
              </w:rPr>
            </w:pPr>
            <w:r>
              <w:rPr>
                <w:spacing w:val="20"/>
                <w:szCs w:val="24"/>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spacing w:val="20"/>
                <w:szCs w:val="24"/>
              </w:rPr>
            </w:pPr>
            <w:r>
              <w:rPr>
                <w:spacing w:val="20"/>
                <w:szCs w:val="24"/>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spacing w:val="20"/>
                <w:szCs w:val="24"/>
              </w:rPr>
            </w:pPr>
            <w:r>
              <w:rPr>
                <w:spacing w:val="20"/>
                <w:szCs w:val="24"/>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spacing w:val="20"/>
                <w:szCs w:val="24"/>
              </w:rPr>
            </w:pPr>
            <w:r>
              <w:rPr>
                <w:spacing w:val="20"/>
                <w:szCs w:val="24"/>
              </w:rPr>
              <w:t xml:space="preserve">投标总报价（人民币大写）：￥：</w:t>
            </w:r>
            <w:r/>
          </w:p>
        </w:tc>
      </w:tr>
    </w:tbl>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00" w:lineRule="exact"/>
        <w:rPr>
          <w:szCs w:val="21"/>
        </w:rPr>
      </w:pPr>
      <w:r>
        <w:rPr>
          <w:szCs w:val="21"/>
        </w:rPr>
        <w:t xml:space="preserve">注：1、上述报价包含一切由供方承担的费用，各投标人可参照上述格式自制《</w:t>
      </w:r>
      <w:r>
        <w:rPr>
          <w:rFonts w:hint="eastAsia"/>
          <w:szCs w:val="21"/>
        </w:rPr>
        <w:t xml:space="preserve">公开分项报价</w:t>
      </w:r>
      <w:r>
        <w:rPr>
          <w:szCs w:val="21"/>
        </w:rPr>
        <w:t xml:space="preserve">》参加投标。</w:t>
      </w:r>
      <w:r/>
    </w:p>
    <w:p>
      <w:pPr>
        <w:ind w:left="420"/>
        <w:spacing w:after="120"/>
        <w:rPr>
          <w:b/>
        </w:rPr>
      </w:pPr>
      <w:r>
        <w:t xml:space="preserve">2、投标总报价超采购预算，或各标的物单价超该项预算单价的（针对采购文件标明预算单价的）</w:t>
      </w:r>
      <w:r>
        <w:rPr>
          <w:b/>
        </w:rPr>
        <w:t xml:space="preserve">，投标无效。</w:t>
      </w:r>
      <w:r/>
    </w:p>
    <w:p>
      <w:pPr>
        <w:pStyle w:val="679"/>
      </w:p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四、投标函</w:t>
      </w:r>
      <w:r/>
    </w:p>
    <w:p>
      <w:pPr>
        <w:ind w:firstLine="424"/>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w:t>
      </w:r>
      <w:r>
        <w:rPr>
          <w:rFonts w:hint="eastAsia" w:ascii="宋体" w:hAnsi="宋体" w:cs="宋体"/>
          <w:bCs/>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我方已仔细研究了本项目的招标文件，决定参加本次投标。</w:t>
      </w:r>
      <w:r/>
    </w:p>
    <w:p>
      <w:pPr>
        <w:pStyle w:val="1035"/>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35"/>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35"/>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我方承诺本投标书的有效期限为</w:t>
      </w:r>
      <w:r>
        <w:rPr>
          <w:rFonts w:hint="eastAsia" w:cs="宋体"/>
          <w:color w:val="000000" w:themeColor="text1"/>
          <w:sz w:val="21"/>
          <w:szCs w:val="21"/>
          <w:u w:val="single"/>
          <w14:textFill>
            <w14:solidFill>
              <w14:schemeClr w14:val="tx1"/>
            </w14:solidFill>
          </w14:textFill>
        </w:rPr>
        <w:t xml:space="preserve">    </w:t>
      </w:r>
      <w:r>
        <w:rPr>
          <w:rFonts w:hint="eastAsia" w:cs="宋体"/>
          <w:color w:val="000000" w:themeColor="text1"/>
          <w:sz w:val="21"/>
          <w:szCs w:val="21"/>
          <w14:textFill>
            <w14:solidFill>
              <w14:schemeClr w14:val="tx1"/>
            </w14:solidFill>
          </w14:textFill>
        </w:rPr>
        <w:t xml:space="preserve">天。</w:t>
      </w:r>
      <w:r/>
    </w:p>
    <w:p>
      <w:pPr>
        <w:pStyle w:val="1035"/>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35"/>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35"/>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a）提供虚假材料谋取中标、成交；</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b）采取不正当手段诋毁、排挤其他投标人；</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c）与采购人、其它投标人或者采购代理机构恶意串通；</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d）向采购人、采购代理机构行贿或者提供其他不正当利益；</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e）在招标采购过程中与采购人进行协商谈判；</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f）拒绝有关部门监督检查或提供虚假情况；</w:t>
      </w:r>
      <w:r/>
    </w:p>
    <w:p>
      <w:pPr>
        <w:pStyle w:val="679"/>
        <w:rPr>
          <w:rFonts w:hint="eastAsia" w:ascii="宋体" w:hAnsi="宋体" w:cs="宋体"/>
        </w:rPr>
      </w:pPr>
      <w:r>
        <w:rPr>
          <w:rFonts w:hint="eastAsia" w:ascii="宋体" w:hAnsi="宋体" w:cs="宋体"/>
          <w:szCs w:val="24"/>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地址：                                         邮政编码：</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乙方收款信息如下：</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户名：</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账号：</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数字人民币账户账号： </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 </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cs="宋体"/>
          <w:szCs w:val="21"/>
        </w:rPr>
      </w:pPr>
      <w:r/>
      <w:bookmarkStart w:id="41" w:name="_Hlk157962510"/>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41"/>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五、参加政府采购活动前三年内，在经营活动中没有重大违法记录声明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致：苏州诚联招投标咨询服务有限公司：</w:t>
      </w:r>
      <w:r/>
    </w:p>
    <w:p>
      <w:pPr>
        <w:ind w:firstLine="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（投标人名称）        </w:t>
      </w:r>
      <w:r>
        <w:rPr>
          <w:rFonts w:hint="eastAsia" w:ascii="宋体" w:hAnsi="宋体" w:cs="宋体"/>
          <w:color w:val="000000" w:themeColor="text1"/>
          <w:szCs w:val="21"/>
          <w14:textFill>
            <w14:solidFill>
              <w14:schemeClr w14:val="tx1"/>
            </w14:solidFill>
          </w14:textFill>
        </w:rPr>
        <w:t xml:space="preserve"> 在参加政府采购活动前三年内，没有重大违法记录，特此声明。</w:t>
      </w:r>
      <w:r/>
    </w:p>
    <w:p>
      <w:pPr>
        <w:ind w:firstLine="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firstLine="420"/>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spacing w:line="400" w:lineRule="exact"/>
        <w:rPr>
          <w:b/>
          <w:szCs w:val="21"/>
          <w:lang w:val="zh-CN"/>
        </w:rPr>
        <w:outlineLvl w:val="0"/>
      </w:pPr>
      <w:r/>
      <w:bookmarkStart w:id="42" w:name="_Hlk75808617"/>
      <w:r>
        <w:rPr>
          <w:rFonts w:eastAsiaTheme="minorEastAsia"/>
          <w:b/>
          <w:szCs w:val="21"/>
          <w:lang w:val="zh-CN"/>
        </w:rPr>
        <w:t xml:space="preserve">六、</w:t>
      </w:r>
      <w:bookmarkStart w:id="43"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pPr>
      <w:r/>
      <w:r/>
    </w:p>
    <w:p>
      <w:pPr>
        <w:ind w:firstLine="422"/>
        <w:spacing w:line="380" w:lineRule="exact"/>
        <w:rPr>
          <w:b/>
          <w:szCs w:val="21"/>
        </w:rPr>
      </w:pPr>
      <w:r>
        <w:rPr>
          <w:b/>
          <w:szCs w:val="21"/>
        </w:rPr>
        <w:t xml:space="preserve">备注：</w:t>
      </w:r>
      <w:r/>
    </w:p>
    <w:p>
      <w:pPr>
        <w:numPr>
          <w:ilvl w:val="0"/>
          <w:numId w:val="6"/>
        </w:numPr>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6"/>
        </w:numPr>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6"/>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6"/>
        </w:numPr>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4" w:name="_Hlk72923453"/>
      <w:r>
        <w:rPr>
          <w:szCs w:val="21"/>
          <w:lang w:val="zh-CN"/>
        </w:rPr>
        <w:t xml:space="preserve">符合中小企业划分标准的个体工商户，在政府采购活动中视同中小企业</w:t>
      </w:r>
      <w:bookmarkEnd w:id="44"/>
      <w:r>
        <w:rPr>
          <w:szCs w:val="21"/>
          <w:lang w:val="zh-CN"/>
        </w:rPr>
        <w:t xml:space="preserve">。</w:t>
      </w:r>
      <w:r/>
    </w:p>
    <w:p>
      <w:pPr>
        <w:numPr>
          <w:ilvl w:val="0"/>
          <w:numId w:val="6"/>
        </w:numPr>
        <w:ind w:left="851"/>
        <w:spacing w:line="380" w:lineRule="exact"/>
        <w:rPr>
          <w:szCs w:val="21"/>
          <w:lang w:val="zh-CN"/>
        </w:rPr>
      </w:pPr>
      <w:r/>
      <w:bookmarkStart w:id="45" w:name="_Hlk94450593"/>
      <w:r>
        <w:rPr>
          <w:rFonts w:eastAsiaTheme="minorEastAsia"/>
        </w:rPr>
        <w:t xml:space="preserve">投标文件中的电子签章视为投标人对本声明进行了签署盖章并承担相应责任。</w:t>
      </w:r>
      <w:bookmarkEnd w:id="45"/>
      <w:r/>
      <w:r/>
    </w:p>
    <w:p>
      <w:r>
        <w:br w:type="page" w:clear="all"/>
      </w:r>
      <w:r/>
    </w:p>
    <w:p>
      <w:pPr>
        <w:spacing w:line="240" w:lineRule="exact"/>
        <w:rPr>
          <w:b/>
        </w:rPr>
      </w:pPr>
      <w:r>
        <w:rPr>
          <w:b/>
        </w:rPr>
        <w:t xml:space="preserve">附：中小企业划型标准规定（工信部联企业〔2011〕300号）</w:t>
      </w:r>
      <w:r/>
    </w:p>
    <w:p>
      <w:pPr>
        <w:ind w:firstLine="420"/>
        <w:rPr>
          <w:szCs w:val="20"/>
        </w:rPr>
      </w:pPr>
      <w:r>
        <w:rPr>
          <w:szCs w:val="20"/>
        </w:rPr>
      </w:r>
      <w:r/>
    </w:p>
    <w:p>
      <w:pPr>
        <w:ind w:firstLine="422"/>
        <w:spacing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40" w:lineRule="exact"/>
      </w:pPr>
      <w:r>
        <w:rPr>
          <w:b/>
        </w:rPr>
        <w:t xml:space="preserve">（十四）物业管理。</w:t>
      </w:r>
      <w:r>
        <w:t xml:space="preserve">从业人员1000人以下或营业收入5000万元以下的为中小微型企业。其中，从业人员</w:t>
      </w:r>
      <w:r/>
    </w:p>
    <w:p>
      <w:pPr>
        <w:spacing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spacing w:after="120"/>
      </w:pPr>
      <w:r/>
      <w:r/>
    </w:p>
    <w:p>
      <w:pPr>
        <w:ind w:firstLine="420"/>
        <w:spacing w:line="360" w:lineRule="auto"/>
        <w:rPr>
          <w:rFonts w:eastAsiaTheme="minorEastAsia"/>
          <w:b/>
          <w:szCs w:val="21"/>
          <w:lang w:val="zh-CN"/>
        </w:rPr>
      </w:pPr>
      <w:r>
        <w:rPr>
          <w:rFonts w:eastAsiaTheme="minorEastAsia"/>
          <w:szCs w:val="21"/>
          <w:lang w:val="zh-CN"/>
        </w:rPr>
        <w:br w:type="page" w:clear="all"/>
      </w:r>
      <w:bookmarkEnd w:id="43"/>
      <w:r/>
      <w:r/>
    </w:p>
    <w:p>
      <w:pPr>
        <w:jc w:val="center"/>
        <w:spacing w:line="360" w:lineRule="auto"/>
        <w:rPr>
          <w:rFonts w:eastAsiaTheme="minorEastAsia"/>
          <w:b/>
          <w:spacing w:val="6"/>
          <w:szCs w:val="21"/>
          <w:lang w:val="zh-CN"/>
        </w:rPr>
      </w:pPr>
      <w:r>
        <w:rPr>
          <w:rFonts w:eastAsiaTheme="minorEastAsia"/>
          <w:b/>
          <w:spacing w:val="6"/>
          <w:szCs w:val="21"/>
          <w:lang w:val="zh-CN"/>
        </w:rPr>
        <w:t xml:space="preserve">七、残疾人福利性单位声明函</w:t>
      </w:r>
      <w:r/>
    </w:p>
    <w:p>
      <w:pPr>
        <w:spacing w:line="360" w:lineRule="auto"/>
        <w:rPr>
          <w:rFonts w:eastAsiaTheme="minorEastAsia"/>
          <w:szCs w:val="21"/>
          <w:lang w:val="zh-CN"/>
        </w:rPr>
      </w:pPr>
      <w:r>
        <w:rPr>
          <w:rFonts w:eastAsiaTheme="minorEastAsia"/>
          <w:szCs w:val="21"/>
          <w:lang w:val="zh-CN"/>
        </w:rPr>
      </w:r>
      <w:r/>
    </w:p>
    <w:p>
      <w:pPr>
        <w:spacing w:line="360" w:lineRule="auto"/>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rPr>
          <w:rFonts w:eastAsiaTheme="minorEastAsia"/>
          <w:szCs w:val="21"/>
        </w:rPr>
      </w:pPr>
      <w:r>
        <w:rPr>
          <w:rFonts w:eastAsiaTheme="minorEastAsia"/>
          <w:szCs w:val="21"/>
        </w:rPr>
      </w:r>
      <w:r/>
    </w:p>
    <w:p>
      <w:pPr>
        <w:ind w:firstLine="420"/>
        <w:spacing w:line="360" w:lineRule="auto"/>
        <w:rPr>
          <w:rFonts w:eastAsiaTheme="minorEastAsia"/>
          <w:szCs w:val="21"/>
        </w:rPr>
      </w:pPr>
      <w:r>
        <w:rPr>
          <w:rFonts w:eastAsiaTheme="minorEastAsia"/>
          <w:szCs w:val="21"/>
        </w:rPr>
        <w:t xml:space="preserve">单位名称（盖章）：</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rPr>
          <w:sz w:val="24"/>
          <w:szCs w:val="24"/>
        </w:rPr>
      </w:pPr>
      <w:r>
        <w:rPr>
          <w:b/>
          <w:szCs w:val="21"/>
        </w:rPr>
        <w:t xml:space="preserve">注：</w:t>
      </w:r>
      <w:bookmarkStart w:id="46" w:name="_Hlk158140990"/>
      <w:r>
        <w:rPr>
          <w:b/>
          <w:szCs w:val="21"/>
        </w:rPr>
        <w:t xml:space="preserve">投标文件中的电子签章视为供应商对本声明进行了签署盖章并承担相应责任</w:t>
      </w:r>
      <w:bookmarkEnd w:id="46"/>
      <w:r>
        <w:rPr>
          <w:b/>
          <w:szCs w:val="21"/>
        </w:rPr>
        <w:t xml:space="preserve">。</w:t>
      </w:r>
      <w:r>
        <w:rPr>
          <w:sz w:val="24"/>
          <w:szCs w:val="24"/>
        </w:rPr>
        <w:t xml:space="preserve"> </w:t>
      </w:r>
      <w:r/>
    </w:p>
    <w:p>
      <w:pPr>
        <w:rPr>
          <w:sz w:val="20"/>
          <w:szCs w:val="24"/>
        </w:rPr>
      </w:pPr>
      <w:r>
        <w:rPr>
          <w:sz w:val="20"/>
          <w:szCs w:val="24"/>
        </w:rPr>
        <w:t xml:space="preserve"> </w:t>
      </w:r>
      <w:r/>
    </w:p>
    <w:p>
      <w:pPr>
        <w:spacing w:line="400" w:lineRule="exact"/>
        <w:rPr>
          <w:rFonts w:eastAsiaTheme="minorEastAsia"/>
        </w:rPr>
      </w:pPr>
      <w:r>
        <w:rPr>
          <w:rFonts w:eastAsiaTheme="minorEastAsia"/>
        </w:rPr>
      </w:r>
      <w:r/>
    </w:p>
    <w:p>
      <w:pPr>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spacing w:line="360" w:lineRule="auto"/>
        <w:tabs>
          <w:tab w:val="center" w:pos="5258" w:leader="none"/>
        </w:tabs>
        <w:rPr>
          <w:rFonts w:eastAsiaTheme="minorEastAsia"/>
          <w:szCs w:val="21"/>
        </w:rPr>
      </w:pPr>
      <w:r>
        <w:rPr>
          <w:rFonts w:eastAsiaTheme="minorEastAsia"/>
          <w:b/>
          <w:sz w:val="32"/>
          <w:szCs w:val="32"/>
          <w:lang w:val="zh-CN"/>
        </w:rPr>
        <w:br w:type="page" w:clear="all"/>
      </w:r>
      <w:r/>
    </w:p>
    <w:p>
      <w:pPr>
        <w:jc w:val="center"/>
        <w:spacing w:line="360" w:lineRule="auto"/>
        <w:rPr>
          <w:b/>
          <w:szCs w:val="21"/>
        </w:rPr>
      </w:pPr>
      <w:r>
        <w:rPr>
          <w:rFonts w:eastAsiaTheme="minor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678"/>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标的物的规格、数量及技术要求以及其他要求的内容填写：</w:t>
      </w:r>
      <w:r/>
    </w:p>
    <w:p>
      <w:pPr>
        <w:ind w:left="424" w:right="451"/>
      </w:pPr>
      <w:r/>
      <w:r/>
    </w:p>
    <w:p>
      <w:pPr>
        <w:pStyle w:val="679"/>
      </w:pPr>
      <w:r/>
      <w:r/>
    </w:p>
    <w:p>
      <w:pPr>
        <w:ind w:left="424" w:right="451"/>
        <w:rPr>
          <w:b/>
        </w:rPr>
      </w:pPr>
      <w:r>
        <w:rPr>
          <w:b/>
        </w:rPr>
        <w:t xml:space="preserve">我方（即供应商）保证：除上表中列出的不响应情况外，我方响应招标文件的第四章标的物的规格、数量及技术要求以及其它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ind w:left="420"/>
        <w:spacing w:after="120"/>
      </w:pPr>
      <w:r/>
      <w:r/>
    </w:p>
    <w:p>
      <w:pPr>
        <w:ind w:firstLine="6090"/>
        <w:jc w:val="right"/>
        <w:spacing w:line="360" w:lineRule="auto"/>
        <w:rPr>
          <w:szCs w:val="21"/>
        </w:rPr>
      </w:pPr>
      <w:r/>
      <w:bookmarkStart w:id="47" w:name="_Hlk158038133"/>
      <w:r>
        <w:rPr>
          <w:szCs w:val="21"/>
        </w:rPr>
        <w:t xml:space="preserve">单位名称：（加盖CA电子公章）                                    </w:t>
      </w:r>
      <w:r/>
    </w:p>
    <w:p>
      <w:pPr>
        <w:ind w:left="420"/>
        <w:jc w:val="right"/>
        <w:spacing w:after="120"/>
      </w:pPr>
      <w:r>
        <w:rPr>
          <w:szCs w:val="21"/>
        </w:rPr>
        <w:t xml:space="preserve">日期：　　　　年　　  月　　  日</w:t>
      </w:r>
      <w:bookmarkEnd w:id="47"/>
      <w:r/>
      <w:r/>
    </w:p>
    <w:p>
      <w:pPr>
        <w:ind w:left="420" w:firstLine="221"/>
        <w:spacing w:line="360" w:lineRule="auto"/>
        <w:rPr>
          <w:b/>
          <w:sz w:val="22"/>
          <w:szCs w:val="21"/>
        </w:rPr>
      </w:pPr>
      <w:r>
        <w:rPr>
          <w:b/>
          <w:sz w:val="22"/>
          <w:szCs w:val="21"/>
        </w:rPr>
      </w:r>
      <w:r/>
    </w:p>
    <w:p>
      <w:pPr>
        <w:ind w:left="420"/>
        <w:spacing w:after="120"/>
      </w:pPr>
      <w:r/>
      <w:r/>
    </w:p>
    <w:p>
      <w:pPr>
        <w:rPr>
          <w:szCs w:val="21"/>
        </w:rPr>
      </w:pPr>
      <w:r>
        <w:rPr>
          <w:szCs w:val="21"/>
        </w:rPr>
      </w:r>
      <w:r/>
    </w:p>
    <w:p>
      <w:pPr>
        <w:jc w:val="center"/>
        <w:spacing w:after="360"/>
        <w:rPr>
          <w:b/>
          <w:szCs w:val="21"/>
        </w:rPr>
      </w:pPr>
      <w:r>
        <w:rPr>
          <w:b/>
          <w:szCs w:val="21"/>
        </w:rPr>
        <w:br w:type="page" w:clear="all"/>
      </w:r>
      <w:r/>
    </w:p>
    <w:p>
      <w:pPr>
        <w:jc w:val="center"/>
        <w:spacing w:after="360"/>
        <w:rPr>
          <w:b/>
          <w:szCs w:val="24"/>
        </w:rPr>
      </w:pPr>
      <w:r>
        <w:rPr>
          <w:rFonts w:eastAsiaTheme="minorEastAsia"/>
          <w:b/>
          <w:szCs w:val="21"/>
        </w:rPr>
        <w:t xml:space="preserve">九、</w:t>
      </w:r>
      <w:r>
        <w:rPr>
          <w:rFonts w:eastAsiaTheme="minorEastAsia"/>
          <w:b/>
          <w:bCs/>
          <w:szCs w:val="21"/>
          <w:lang w:val="zh-CN"/>
        </w:rPr>
        <w:t xml:space="preserve">投标货物和服务数量、品牌、规格、生产厂家明细表</w:t>
      </w:r>
      <w:r/>
    </w:p>
    <w:p>
      <w:pPr>
        <w:ind w:left="850"/>
        <w:spacing w:after="360"/>
        <w:rPr>
          <w:rFonts w:eastAsiaTheme="minorEastAsia"/>
          <w:b/>
          <w:szCs w:val="21"/>
        </w:rPr>
      </w:pPr>
      <w:r>
        <w:rPr>
          <w:szCs w:val="21"/>
          <w:lang w:val="zh-CN"/>
        </w:rPr>
        <w:t xml:space="preserve">项目编号：</w:t>
      </w:r>
      <w:r/>
    </w:p>
    <w:tbl>
      <w:tblPr>
        <w:tblStyle w:val="678"/>
        <w:tblW w:w="85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9"/>
        <w:gridCol w:w="1614"/>
        <w:gridCol w:w="1080"/>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spacing w:val="20"/>
                <w:szCs w:val="24"/>
              </w:rPr>
            </w:pPr>
            <w:r>
              <w:rPr>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rPr>
                <w:spacing w:val="20"/>
                <w:szCs w:val="24"/>
              </w:rPr>
            </w:pPr>
            <w:r>
              <w:rPr>
                <w:spacing w:val="20"/>
                <w:szCs w:val="24"/>
              </w:rPr>
              <w:t xml:space="preserve">标的物名称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spacing w:val="20"/>
                <w:szCs w:val="24"/>
              </w:rPr>
            </w:pPr>
            <w:r>
              <w:rPr>
                <w:spacing w:val="20"/>
                <w:szCs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pacing w:val="20"/>
                <w:szCs w:val="24"/>
              </w:rPr>
            </w:pPr>
            <w:r>
              <w:rPr>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pacing w:val="20"/>
                <w:szCs w:val="24"/>
              </w:rPr>
            </w:pPr>
            <w:r>
              <w:rPr>
                <w:spacing w:val="20"/>
                <w:szCs w:val="24"/>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pacing w:val="20"/>
                <w:szCs w:val="24"/>
              </w:rPr>
            </w:pPr>
            <w:r>
              <w:rPr>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pacing w:val="20"/>
                <w:szCs w:val="24"/>
              </w:rPr>
            </w:pPr>
            <w:r>
              <w:rPr>
                <w:spacing w:val="20"/>
                <w:szCs w:val="24"/>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bl>
    <w:p>
      <w:pPr>
        <w:spacing w:line="400" w:lineRule="exact"/>
        <w:rPr>
          <w:b/>
          <w:szCs w:val="21"/>
        </w:rPr>
      </w:pPr>
      <w:r>
        <w:rPr>
          <w:b/>
          <w:szCs w:val="21"/>
        </w:rPr>
      </w:r>
      <w:r/>
    </w:p>
    <w:p>
      <w:pPr>
        <w:ind w:left="850"/>
        <w:spacing w:line="400" w:lineRule="exact"/>
        <w:rPr>
          <w:b/>
          <w:szCs w:val="21"/>
        </w:rPr>
      </w:pPr>
      <w:r>
        <w:rPr>
          <w:b/>
          <w:szCs w:val="21"/>
        </w:rPr>
        <w:t xml:space="preserve">注：本表不得出现价格。</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679"/>
        <w:jc w:val="right"/>
        <w:rPr>
          <w:rFonts w:hint="eastAsia" w:ascii="宋体" w:hAnsi="宋体" w:cs="宋体"/>
        </w:rPr>
      </w:pPr>
      <w:r>
        <w:rPr>
          <w:rFonts w:hint="eastAsia" w:ascii="宋体" w:hAnsi="宋体" w:cs="宋体"/>
          <w:szCs w:val="21"/>
        </w:rPr>
        <w:t xml:space="preserve">日期：　　　　年　　  月　　  日</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十、资格证明文件</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关于资格文件的声明函</w:t>
      </w:r>
      <w:r/>
    </w:p>
    <w:p>
      <w:pPr>
        <w:pStyle w:val="680"/>
        <w:ind w:firstLine="0"/>
        <w:rPr>
          <w:rFonts w:hint="eastAsia" w:ascii="宋体" w:hAnsi="宋体" w:eastAsia="宋体" w:cs="宋体"/>
        </w:rPr>
      </w:pPr>
      <w:r>
        <w:rPr>
          <w:rFonts w:hint="eastAsia" w:ascii="宋体" w:hAnsi="宋体" w:eastAsia="宋体" w:cs="宋体"/>
        </w:rPr>
      </w:r>
      <w:r/>
    </w:p>
    <w:p>
      <w:pPr>
        <w:pStyle w:val="680"/>
        <w:jc w:val="cente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苏州诚联招投标咨询服务有限公司</w:t>
      </w:r>
      <w:r>
        <w:rPr>
          <w:rFonts w:hint="eastAsia" w:ascii="宋体" w:hAnsi="宋体" w:cs="宋体"/>
          <w:color w:val="000000" w:themeColor="text1"/>
          <w14:textFill>
            <w14:solidFill>
              <w14:schemeClr w14:val="tx1"/>
            </w14:solidFill>
          </w14:textFill>
        </w:rPr>
        <w:t xml:space="preserve">：</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本公司愿就由贵公司组织实施的编号为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号的招标活动进行投标。本公司所提交的投标文件中所有关于投标资格的文件、证明和陈述均是真实的、准确的、有效的。若与真实情况不符，本公司愿意承担由此而产生的一切后果。</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679"/>
        <w:jc w:val="right"/>
        <w:rPr>
          <w:rFonts w:hint="eastAsia" w:ascii="宋体" w:hAnsi="宋体" w:cs="宋体"/>
        </w:rPr>
      </w:pPr>
      <w:r>
        <w:rPr>
          <w:rFonts w:hint="eastAsia" w:ascii="宋体" w:hAnsi="宋体" w:cs="宋体"/>
          <w:szCs w:val="21"/>
        </w:rPr>
        <w:t xml:space="preserve">日期：　　　　年　　  月　　  日</w:t>
      </w:r>
      <w:r/>
    </w:p>
    <w:p>
      <w:pPr>
        <w:pStyle w:val="680"/>
        <w:ind w:firstLine="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rPr>
        <w:br w:type="page" w:clear="all"/>
      </w:r>
      <w:r>
        <w:rPr>
          <w:rFonts w:hint="eastAsia" w:ascii="宋体" w:hAnsi="宋体" w:eastAsia="宋体" w:cs="宋体"/>
          <w:b/>
          <w:color w:val="000000" w:themeColor="text1"/>
          <w:sz w:val="21"/>
          <w:szCs w:val="21"/>
          <w14:textFill>
            <w14:solidFill>
              <w14:schemeClr w14:val="tx1"/>
            </w14:solidFill>
          </w14:textFill>
        </w:rPr>
        <w:t xml:space="preserve">十一、投标单位情况表</w:t>
      </w:r>
      <w:r/>
    </w:p>
    <w:p>
      <w:pPr>
        <w:pStyle w:val="680"/>
        <w:ind w:firstLine="0"/>
        <w:rPr>
          <w:rFonts w:hint="eastAsia" w:ascii="宋体" w:hAnsi="宋体" w:eastAsia="宋体" w:cs="宋体"/>
        </w:rPr>
      </w:pPr>
      <w:r>
        <w:rPr>
          <w:rFonts w:hint="eastAsia" w:ascii="宋体" w:hAnsi="宋体" w:eastAsia="宋体" w:cs="宋体"/>
        </w:rPr>
      </w:r>
      <w:r/>
    </w:p>
    <w:p>
      <w:pPr>
        <w:pStyle w:val="680"/>
        <w:ind w:firstLine="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投标单位情况表</w:t>
      </w:r>
      <w:r/>
    </w:p>
    <w:p>
      <w:pPr>
        <w:pStyle w:val="680"/>
        <w:rPr>
          <w:rFonts w:hint="eastAsia" w:ascii="宋体" w:hAnsi="宋体" w:eastAsia="宋体" w:cs="宋体"/>
          <w:sz w:val="21"/>
          <w:szCs w:val="21"/>
        </w:rPr>
      </w:pPr>
      <w:r>
        <w:rPr>
          <w:rFonts w:hint="eastAsia" w:ascii="宋体" w:hAnsi="宋体" w:eastAsia="宋体" w:cs="宋体"/>
          <w:sz w:val="21"/>
          <w:szCs w:val="21"/>
        </w:rPr>
        <w:t xml:space="preserve">单位名称（盖章）</w:t>
      </w:r>
      <w:r/>
    </w:p>
    <w:tbl>
      <w:tblPr>
        <w:tblStyle w:val="678"/>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791"/>
        <w:gridCol w:w="2228"/>
        <w:gridCol w:w="1622"/>
        <w:gridCol w:w="2288"/>
        <w:gridCol w:w="1375"/>
      </w:tblGrid>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081"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c>
          <w:tcPr>
            <w:tcW w:w="787"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1776"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081"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c>
          <w:tcPr>
            <w:tcW w:w="787"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1776" w:type="pct"/>
            <w:textDirection w:val="lrTb"/>
            <w:noWrap w:val="false"/>
          </w:tcPr>
          <w:p>
            <w:pPr>
              <w:pStyle w:val="680"/>
              <w:ind w:firstLine="2160"/>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081"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1897"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666"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vAlign w:val="center"/>
            <w:textDirection w:val="lrTb"/>
            <w:noWrap w:val="false"/>
          </w:tcPr>
          <w:p>
            <w:pPr>
              <w:pStyle w:val="680"/>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081" w:type="pct"/>
            <w:vAlign w:val="center"/>
            <w:textDirection w:val="lrTb"/>
            <w:noWrap w:val="false"/>
          </w:tcPr>
          <w:p>
            <w:pPr>
              <w:pStyle w:val="680"/>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787" w:type="pct"/>
            <w:vAlign w:val="center"/>
            <w:textDirection w:val="lrTb"/>
            <w:noWrap w:val="false"/>
          </w:tcPr>
          <w:p>
            <w:pPr>
              <w:pStyle w:val="680"/>
              <w:ind w:firstLine="0"/>
              <w:jc w:val="both"/>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1776" w:type="pct"/>
            <w:vAlign w:val="center"/>
            <w:textDirection w:val="lrTb"/>
            <w:noWrap w:val="false"/>
          </w:tcPr>
          <w:p>
            <w:pPr>
              <w:pStyle w:val="680"/>
              <w:ind w:firstLine="0"/>
              <w:jc w:val="center"/>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354" w:type="pct"/>
            <w:vAlign w:val="center"/>
            <w:textDirection w:val="lrTb"/>
            <w:noWrap w:val="false"/>
          </w:tcPr>
          <w:p>
            <w:pPr>
              <w:pStyle w:val="680"/>
              <w:ind w:firstLine="0"/>
              <w:jc w:val="both"/>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081" w:type="pct"/>
            <w:vAlign w:val="center"/>
            <w:textDirection w:val="lrTb"/>
            <w:noWrap w:val="false"/>
          </w:tcPr>
          <w:p>
            <w:pPr>
              <w:pStyle w:val="680"/>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787" w:type="pct"/>
            <w:vAlign w:val="center"/>
            <w:textDirection w:val="lrTb"/>
            <w:noWrap w:val="false"/>
          </w:tcPr>
          <w:p>
            <w:pPr>
              <w:pStyle w:val="680"/>
              <w:ind w:firstLine="0"/>
              <w:jc w:val="both"/>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1776" w:type="pct"/>
            <w:vAlign w:val="center"/>
            <w:textDirection w:val="lrTb"/>
            <w:noWrap w:val="false"/>
          </w:tcPr>
          <w:p>
            <w:pPr>
              <w:pStyle w:val="680"/>
              <w:ind w:firstLine="0"/>
              <w:jc w:val="center"/>
              <w:rPr>
                <w:rFonts w:hint="eastAsia" w:ascii="宋体" w:hAnsi="宋体" w:eastAsia="宋体" w:cs="宋体"/>
                <w:sz w:val="21"/>
                <w:szCs w:val="21"/>
              </w:rPr>
            </w:pPr>
            <w:r>
              <w:rPr>
                <w:rFonts w:hint="eastAsia" w:ascii="宋体" w:hAnsi="宋体" w:eastAsia="宋体" w:cs="宋体"/>
                <w:sz w:val="21"/>
                <w:szCs w:val="21"/>
              </w:rPr>
              <w:t xml:space="preserve">年          万元</w:t>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081" w:type="pct"/>
            <w:textDirection w:val="lrTb"/>
            <w:noWrap w:val="false"/>
          </w:tcPr>
          <w:p>
            <w:pPr>
              <w:pStyle w:val="680"/>
              <w:ind w:firstLine="210"/>
              <w:rPr>
                <w:rFonts w:hint="eastAsia" w:ascii="宋体" w:hAnsi="宋体" w:eastAsia="宋体" w:cs="宋体"/>
                <w:sz w:val="21"/>
                <w:szCs w:val="21"/>
              </w:rPr>
            </w:pPr>
            <w:r>
              <w:rPr>
                <w:rFonts w:hint="eastAsia" w:ascii="宋体" w:hAnsi="宋体" w:eastAsia="宋体" w:cs="宋体"/>
                <w:sz w:val="21"/>
                <w:szCs w:val="21"/>
              </w:rPr>
              <w:t xml:space="preserve">年    万元</w:t>
            </w:r>
            <w:r/>
          </w:p>
        </w:tc>
        <w:tc>
          <w:tcPr>
            <w:tcW w:w="787"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1776"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081" w:type="pct"/>
            <w:vAlign w:val="center"/>
            <w:textDirection w:val="lrTb"/>
            <w:noWrap w:val="false"/>
          </w:tcPr>
          <w:p>
            <w:pPr>
              <w:pStyle w:val="680"/>
              <w:ind w:firstLine="0"/>
              <w:jc w:val="both"/>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787"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1776"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1354"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3645" w:type="pct"/>
            <w:textDirection w:val="lrTb"/>
            <w:noWrap w:val="false"/>
          </w:tcPr>
          <w:p>
            <w:pPr>
              <w:pStyle w:val="680"/>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20"/>
        <w:ind w:left="0" w:right="0" w:firstLine="420"/>
        <w:jc w:val="center"/>
        <w:spacing w:before="0" w:after="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End w:id="42"/>
      <w:r/>
      <w:r/>
    </w:p>
    <w:p>
      <w:pPr>
        <w:numPr>
          <w:ilvl w:val="0"/>
          <w:numId w:val="7"/>
        </w:num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关于符合本国产品标准的声明函</w:t>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关于符合本国产品标准的声明函</w:t>
      </w:r>
      <w:r/>
    </w:p>
    <w:p>
      <w:r/>
      <w:r/>
    </w:p>
    <w:p>
      <w:pPr>
        <w:pStyle w:val="720"/>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firstLine="48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2717800</wp:posOffset>
                </wp:positionH>
                <wp:positionV relativeFrom="paragraph">
                  <wp:posOffset>230505</wp:posOffset>
                </wp:positionV>
                <wp:extent cx="849630" cy="120015"/>
                <wp:effectExtent l="635" t="4445" r="6985" b="889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14.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5504815</wp:posOffset>
                </wp:positionH>
                <wp:positionV relativeFrom="paragraph">
                  <wp:posOffset>243205</wp:posOffset>
                </wp:positionV>
                <wp:extent cx="849630" cy="120015"/>
                <wp:effectExtent l="635" t="4445" r="6985" b="8890"/>
                <wp:wrapNone/>
                <wp:docPr id="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433.4pt;mso-position-horizontal:absolute;mso-position-vertical-relative:text;margin-top:19.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4571365</wp:posOffset>
                </wp:positionH>
                <wp:positionV relativeFrom="paragraph">
                  <wp:posOffset>236855</wp:posOffset>
                </wp:positionV>
                <wp:extent cx="849630" cy="120015"/>
                <wp:effectExtent l="635" t="4445" r="698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359.9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596900</wp:posOffset>
                </wp:positionH>
                <wp:positionV relativeFrom="paragraph">
                  <wp:posOffset>229235</wp:posOffset>
                </wp:positionV>
                <wp:extent cx="849630" cy="120015"/>
                <wp:effectExtent l="635" t="4445" r="6985" b="889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47.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1580515</wp:posOffset>
                </wp:positionH>
                <wp:positionV relativeFrom="paragraph">
                  <wp:posOffset>211455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24.4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w:t xml:space="preserve">1.</w:t>
      </w:r>
      <w:r>
        <w:rPr>
          <w:rStyle w:val="732"/>
          <w:rFonts w:hint="eastAsia" w:ascii="宋体" w:hAnsi="宋体" w:cs="宋体"/>
          <w:color w:val="000000" w:themeColor="text1"/>
          <w:sz w:val="21"/>
          <w:szCs w:val="21"/>
          <w:u w:val="single"/>
          <w14:textFill>
            <w14:solidFill>
              <w14:schemeClr w14:val="tx1"/>
            </w14:solidFill>
          </w14:textFill>
        </w:rPr>
        <w:t xml:space="preserve">（产品名称1）</w:t>
      </w:r>
      <w:r>
        <w:rPr>
          <w:rStyle w:val="732"/>
          <w:rFonts w:hint="eastAsia" w:ascii="宋体" w:hAnsi="宋体" w:cs="宋体"/>
          <w:color w:val="000000" w:themeColor="text1"/>
          <w:sz w:val="21"/>
          <w:szCs w:val="21"/>
          <w:vertAlign w:val="superscript"/>
          <w14:textFill>
            <w14:solidFill>
              <w14:schemeClr w14:val="tx1"/>
            </w14:solidFill>
          </w14:textFill>
        </w:rPr>
        <w:t xml:space="preserve">1</w:t>
      </w:r>
      <w:r>
        <w:rPr>
          <w:rFonts w:hint="eastAsia" w:ascii="宋体" w:hAnsi="宋体" w:cs="宋体"/>
          <w:color w:val="000000" w:themeColor="text1"/>
          <w:sz w:val="21"/>
          <w:szCs w:val="21"/>
          <w14:textFill>
            <w14:solidFill>
              <w14:schemeClr w14:val="tx1"/>
            </w14:solidFill>
          </w14:textFill>
        </w:rPr>
        <w:t xml:space="preserve">，生产厂为</w:t>
      </w:r>
      <w:r>
        <w:rPr>
          <w:rStyle w:val="732"/>
          <w:rFonts w:hint="eastAsia" w:ascii="宋体" w:hAnsi="宋体" w:cs="宋体"/>
          <w:color w:val="000000" w:themeColor="text1"/>
          <w:sz w:val="21"/>
          <w:szCs w:val="21"/>
          <w:u w:val="single"/>
          <w14:textFill>
            <w14:solidFill>
              <w14:schemeClr w14:val="tx1"/>
            </w14:solidFill>
          </w14:textFill>
        </w:rPr>
        <w:t xml:space="preserve">（厂名）</w:t>
      </w:r>
      <w:r>
        <w:rPr>
          <w:rStyle w:val="732"/>
          <w:rFonts w:hint="eastAsia" w:ascii="宋体" w:hAnsi="宋体" w:cs="宋体"/>
          <w:color w:val="000000" w:themeColor="text1"/>
          <w:sz w:val="21"/>
          <w:szCs w:val="21"/>
          <w:vertAlign w:val="superscript"/>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，厂址为</w:t>
      </w:r>
      <w:r>
        <w:rPr>
          <w:rStyle w:val="732"/>
          <w:rFonts w:hint="eastAsia" w:ascii="宋体" w:hAnsi="宋体" w:cs="宋体"/>
          <w:color w:val="000000" w:themeColor="text1"/>
          <w:sz w:val="21"/>
          <w:szCs w:val="21"/>
          <w:u w:val="single"/>
          <w14:textFill>
            <w14:solidFill>
              <w14:schemeClr w14:val="tx1"/>
            </w14:solidFill>
          </w14:textFill>
        </w:rPr>
        <w:t xml:space="preserve">（生产厂址）</w:t>
      </w:r>
      <w:r>
        <w:rPr>
          <w:rFonts w:hint="eastAsia" w:ascii="宋体" w:hAnsi="宋体" w:cs="宋体"/>
          <w:color w:val="000000" w:themeColor="text1"/>
          <w:sz w:val="21"/>
          <w:szCs w:val="21"/>
          <w14:textFill>
            <w14:solidFill>
              <w14:schemeClr w14:val="tx1"/>
            </w14:solidFill>
          </w14:textFill>
        </w:rPr>
        <w:t xml:space="preserve">。</w:t>
      </w:r>
      <w:r>
        <w:rPr>
          <w:rStyle w:val="732"/>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的中国境内生产的组件成本占比≥</w:t>
      </w:r>
      <w:r>
        <w:rPr>
          <w:rStyle w:val="732"/>
          <w:rFonts w:hint="eastAsia" w:ascii="宋体" w:hAnsi="宋体" w:cs="宋体"/>
          <w:color w:val="000000" w:themeColor="text1"/>
          <w:sz w:val="21"/>
          <w:szCs w:val="21"/>
          <w:u w:val="single"/>
          <w14:textFill>
            <w14:solidFill>
              <w14:schemeClr w14:val="tx1"/>
            </w14:solidFill>
          </w14:textFill>
        </w:rPr>
        <w:t xml:space="preserve">（规定比例）</w:t>
      </w:r>
      <w:r>
        <w:rPr>
          <w:rStyle w:val="732"/>
          <w:rFonts w:hint="eastAsia" w:ascii="宋体" w:hAnsi="宋体" w:cs="宋体"/>
          <w:color w:val="000000" w:themeColor="text1"/>
          <w:sz w:val="21"/>
          <w:szCs w:val="21"/>
          <w:vertAlign w:val="superscript"/>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w:t>
      </w:r>
      <w:r>
        <w:rPr>
          <w:rStyle w:val="732"/>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w:t>
      </w:r>
      <w:r>
        <w:rPr>
          <w:rStyle w:val="732"/>
          <w:rFonts w:hint="eastAsia" w:ascii="宋体" w:hAnsi="宋体" w:cs="宋体"/>
          <w:color w:val="000000" w:themeColor="text1"/>
          <w:sz w:val="21"/>
          <w:szCs w:val="21"/>
          <w:u w:val="single"/>
          <w14:textFill>
            <w14:solidFill>
              <w14:schemeClr w14:val="tx1"/>
            </w14:solidFill>
          </w14:textFill>
        </w:rPr>
        <w:t xml:space="preserve">（关键组件）</w:t>
      </w:r>
      <w:r>
        <w:rPr>
          <w:rStyle w:val="732"/>
          <w:rFonts w:hint="eastAsia" w:ascii="宋体" w:hAnsi="宋体" w:cs="宋体"/>
          <w:color w:val="000000" w:themeColor="text1"/>
          <w:sz w:val="21"/>
          <w:szCs w:val="21"/>
          <w:vertAlign w:val="superscript"/>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在中国境内生产。</w:t>
      </w:r>
      <w:r>
        <w:rPr>
          <w:rStyle w:val="732"/>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w:t>
      </w:r>
      <w:r>
        <w:rPr>
          <w:rStyle w:val="732"/>
          <w:rFonts w:hint="eastAsia" w:ascii="宋体" w:hAnsi="宋体" w:cs="宋体"/>
          <w:color w:val="000000" w:themeColor="text1"/>
          <w:sz w:val="21"/>
          <w:szCs w:val="21"/>
          <w:u w:val="single"/>
          <w14:textFill>
            <w14:solidFill>
              <w14:schemeClr w14:val="tx1"/>
            </w14:solidFill>
          </w14:textFill>
        </w:rPr>
        <w:t xml:space="preserve">（关键工序）</w:t>
      </w:r>
      <w:r>
        <w:rPr>
          <w:rStyle w:val="732"/>
          <w:rFonts w:hint="eastAsia" w:ascii="宋体" w:hAnsi="宋体" w:cs="宋体"/>
          <w:color w:val="000000" w:themeColor="text1"/>
          <w:sz w:val="21"/>
          <w:szCs w:val="21"/>
          <w:vertAlign w:val="superscript"/>
          <w14:textFill>
            <w14:solidFill>
              <w14:schemeClr w14:val="tx1"/>
            </w14:solidFill>
          </w14:textFill>
        </w:rPr>
        <w:t xml:space="preserve">5</w:t>
      </w:r>
      <w:r>
        <w:rPr>
          <w:rFonts w:hint="eastAsia" w:ascii="宋体" w:hAnsi="宋体" w:cs="宋体"/>
          <w:color w:val="000000" w:themeColor="text1"/>
          <w:sz w:val="21"/>
          <w:szCs w:val="21"/>
          <w14:textFill>
            <w14:solidFill>
              <w14:schemeClr w14:val="tx1"/>
            </w14:solidFill>
          </w14:textFill>
        </w:rPr>
        <w:t xml:space="preserve">在中国境内完成。</w:t>
      </w:r>
      <w:r/>
    </w:p>
    <w:p>
      <w:pPr>
        <w:pStyle w:val="720"/>
        <w:ind w:firstLine="48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5568315</wp:posOffset>
                </wp:positionH>
                <wp:positionV relativeFrom="paragraph">
                  <wp:posOffset>220980</wp:posOffset>
                </wp:positionV>
                <wp:extent cx="849630" cy="120015"/>
                <wp:effectExtent l="635" t="4445" r="6985" b="889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438.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4450715</wp:posOffset>
                </wp:positionH>
                <wp:positionV relativeFrom="paragraph">
                  <wp:posOffset>240030</wp:posOffset>
                </wp:positionV>
                <wp:extent cx="849630" cy="120015"/>
                <wp:effectExtent l="635" t="4445" r="6985" b="8890"/>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50.4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596265</wp:posOffset>
                </wp:positionH>
                <wp:positionV relativeFrom="paragraph">
                  <wp:posOffset>259715</wp:posOffset>
                </wp:positionV>
                <wp:extent cx="849630" cy="120015"/>
                <wp:effectExtent l="635" t="4445" r="6985" b="889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46.9pt;mso-position-horizontal:absolute;mso-position-vertical-relative:text;margin-top:20.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2723515</wp:posOffset>
                </wp:positionH>
                <wp:positionV relativeFrom="paragraph">
                  <wp:posOffset>246380</wp:posOffset>
                </wp:positionV>
                <wp:extent cx="849630" cy="120015"/>
                <wp:effectExtent l="635" t="4445" r="6985" b="8890"/>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14.4pt;mso-position-horizontal:absolute;mso-position-vertical-relative:text;margin-top:1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1701165</wp:posOffset>
                </wp:positionH>
                <wp:positionV relativeFrom="paragraph">
                  <wp:posOffset>271780</wp:posOffset>
                </wp:positionV>
                <wp:extent cx="849630" cy="120015"/>
                <wp:effectExtent l="635" t="4445" r="6985" b="88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3.9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w:t xml:space="preserve">2.</w:t>
      </w:r>
      <w:r>
        <w:rPr>
          <w:rStyle w:val="732"/>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，生产厂为</w:t>
      </w:r>
      <w:r>
        <w:rPr>
          <w:rStyle w:val="732"/>
          <w:rFonts w:hint="eastAsia" w:ascii="宋体" w:hAnsi="宋体" w:cs="宋体"/>
          <w:color w:val="000000" w:themeColor="text1"/>
          <w:sz w:val="21"/>
          <w:szCs w:val="21"/>
          <w:u w:val="single"/>
          <w14:textFill>
            <w14:solidFill>
              <w14:schemeClr w14:val="tx1"/>
            </w14:solidFill>
          </w14:textFill>
        </w:rPr>
        <w:t xml:space="preserve">（厂名）</w:t>
      </w:r>
      <w:r>
        <w:rPr>
          <w:rFonts w:hint="eastAsia" w:ascii="宋体" w:hAnsi="宋体" w:cs="宋体"/>
          <w:color w:val="000000" w:themeColor="text1"/>
          <w:sz w:val="21"/>
          <w:szCs w:val="21"/>
          <w14:textFill>
            <w14:solidFill>
              <w14:schemeClr w14:val="tx1"/>
            </w14:solidFill>
          </w14:textFill>
        </w:rPr>
        <w:t xml:space="preserve">，厂址为</w:t>
      </w:r>
      <w:r>
        <w:rPr>
          <w:rStyle w:val="732"/>
          <w:rFonts w:hint="eastAsia" w:ascii="宋体" w:hAnsi="宋体" w:cs="宋体"/>
          <w:color w:val="000000" w:themeColor="text1"/>
          <w:sz w:val="21"/>
          <w:szCs w:val="21"/>
          <w:u w:val="single"/>
          <w14:textFill>
            <w14:solidFill>
              <w14:schemeClr w14:val="tx1"/>
            </w14:solidFill>
          </w14:textFill>
        </w:rPr>
        <w:t xml:space="preserve">（生产厂址）</w:t>
      </w:r>
      <w:r>
        <w:rPr>
          <w:rFonts w:hint="eastAsia" w:ascii="宋体" w:hAnsi="宋体" w:cs="宋体"/>
          <w:color w:val="000000" w:themeColor="text1"/>
          <w:sz w:val="21"/>
          <w:szCs w:val="21"/>
          <w14:textFill>
            <w14:solidFill>
              <w14:schemeClr w14:val="tx1"/>
            </w14:solidFill>
          </w14:textFill>
        </w:rPr>
        <w:t xml:space="preserve">。</w:t>
      </w:r>
      <w:r>
        <w:rPr>
          <w:rStyle w:val="732"/>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的中国境内生产的组件成本占比≥</w:t>
      </w:r>
      <w:r>
        <w:rPr>
          <w:rStyle w:val="732"/>
          <w:rFonts w:hint="eastAsia" w:ascii="宋体" w:hAnsi="宋体" w:cs="宋体"/>
          <w:color w:val="000000" w:themeColor="text1"/>
          <w:sz w:val="21"/>
          <w:szCs w:val="21"/>
          <w:u w:val="single"/>
          <w14:textFill>
            <w14:solidFill>
              <w14:schemeClr w14:val="tx1"/>
            </w14:solidFill>
          </w14:textFill>
        </w:rPr>
        <w:t xml:space="preserve">（规定比例）</w:t>
      </w:r>
      <w:r>
        <w:rPr>
          <w:rFonts w:hint="eastAsia" w:ascii="宋体" w:hAnsi="宋体" w:cs="宋体"/>
          <w:color w:val="000000" w:themeColor="text1"/>
          <w:sz w:val="21"/>
          <w:szCs w:val="21"/>
          <w14:textFill>
            <w14:solidFill>
              <w14:schemeClr w14:val="tx1"/>
            </w14:solidFill>
          </w14:textFill>
        </w:rPr>
        <w:t xml:space="preserve">。</w:t>
      </w:r>
      <w:r>
        <w:rPr>
          <w:rStyle w:val="732"/>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w:t>
      </w:r>
      <w:r>
        <w:rPr>
          <w:rStyle w:val="732"/>
          <w:rFonts w:hint="eastAsia" w:ascii="宋体" w:hAnsi="宋体" w:cs="宋体"/>
          <w:color w:val="000000" w:themeColor="text1"/>
          <w:sz w:val="21"/>
          <w:szCs w:val="21"/>
          <w:u w:val="single"/>
          <w14:textFill>
            <w14:solidFill>
              <w14:schemeClr w14:val="tx1"/>
            </w14:solidFill>
          </w14:textFill>
        </w:rPr>
        <w:t xml:space="preserve">（关键组件）</w:t>
      </w:r>
      <w:r>
        <w:rPr>
          <w:rFonts w:hint="eastAsia" w:ascii="宋体" w:hAnsi="宋体" w:cs="宋体"/>
          <w:color w:val="000000" w:themeColor="text1"/>
          <w:sz w:val="21"/>
          <w:szCs w:val="21"/>
          <w14:textFill>
            <w14:solidFill>
              <w14:schemeClr w14:val="tx1"/>
            </w14:solidFill>
          </w14:textFill>
        </w:rPr>
        <w:t xml:space="preserve">在中国境内生产。</w:t>
      </w:r>
      <w:r>
        <w:rPr>
          <w:rStyle w:val="732"/>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w:t>
      </w:r>
      <w:r>
        <w:rPr>
          <w:rStyle w:val="732"/>
          <w:rFonts w:hint="eastAsia" w:ascii="宋体" w:hAnsi="宋体" w:cs="宋体"/>
          <w:color w:val="000000" w:themeColor="text1"/>
          <w:sz w:val="21"/>
          <w:szCs w:val="21"/>
          <w:u w:val="single"/>
          <w14:textFill>
            <w14:solidFill>
              <w14:schemeClr w14:val="tx1"/>
            </w14:solidFill>
          </w14:textFill>
        </w:rPr>
        <w:t xml:space="preserve">（关键工序）</w:t>
      </w:r>
      <w:r>
        <w:rPr>
          <w:rFonts w:hint="eastAsia" w:ascii="宋体" w:hAnsi="宋体" w:cs="宋体"/>
          <w:color w:val="000000" w:themeColor="text1"/>
          <w:sz w:val="21"/>
          <w:szCs w:val="21"/>
          <w14:textFill>
            <w14:solidFill>
              <w14:schemeClr w14:val="tx1"/>
            </w14:solidFill>
          </w14:textFill>
        </w:rPr>
        <w:t xml:space="preserve">在中国境内完成。</w:t>
      </w:r>
      <w:r/>
    </w:p>
    <w:p>
      <w:pPr>
        <w:pStyle w:val="720"/>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p>
      <w:pPr>
        <w:pStyle w:val="720"/>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本公司（单位）对上述声明内容的真实性负责。如有虚假，愿承担相应法律责任。</w:t>
      </w:r>
      <w:r/>
    </w:p>
    <w:p>
      <w:pPr>
        <w:pStyle w:val="72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20"/>
        <w:ind w:right="815"/>
        <w:jc w:val="center"/>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公司（单位）名称（盖章）：</w:t>
      </w:r>
      <w:r/>
    </w:p>
    <w:p>
      <w:pPr>
        <w:pStyle w:val="720"/>
        <w:ind w:left="0" w:right="815" w:firstLine="540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     年     月      日</w:t>
      </w:r>
      <w:r/>
    </w:p>
    <w:p>
      <w:pPr>
        <w:pStyle w:val="720"/>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20"/>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20"/>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20"/>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20"/>
        <w:ind w:left="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__________________</w:t>
      </w:r>
      <w:r/>
    </w:p>
    <w:p>
      <w:pPr>
        <w:pStyle w:val="720"/>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1.产品如有型号，请在“产品名称”栏一并填写。</w:t>
      </w:r>
      <w:r/>
    </w:p>
    <w:p>
      <w:pPr>
        <w:pStyle w:val="720"/>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2.生产厂名与厂址应与生产厂营业执照载明的相关信息保持一致。</w:t>
      </w:r>
      <w:r/>
    </w:p>
    <w:p>
      <w:pPr>
        <w:pStyle w:val="720"/>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3.该产品的中国境内生产的组件成本占比相关要求实施前，“规定比例”栏可不填，下同。</w:t>
      </w:r>
      <w:r/>
    </w:p>
    <w:p>
      <w:pPr>
        <w:pStyle w:val="720"/>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4.该产品的关键组件要求实施前，“关键组件”栏可不填，下同。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5.该产品的关键工序要求实施前，“关键工序”栏可不填，下同。</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6.用斜线划除的地方无需填写。</w:t>
      </w:r>
      <w:r/>
    </w:p>
    <w:p>
      <w:pPr>
        <w:pStyle w:val="679"/>
        <w:rPr>
          <w:b/>
          <w:color w:val="ff0000"/>
          <w:szCs w:val="21"/>
        </w:rPr>
      </w:pPr>
      <w:r>
        <w:rPr>
          <w:b/>
          <w:color w:val="ff0000"/>
          <w:szCs w:val="21"/>
        </w:rPr>
      </w:r>
      <w:r/>
    </w:p>
    <w:p>
      <w:pPr>
        <w:rPr>
          <w:b/>
          <w:color w:val="ff0000"/>
          <w:szCs w:val="21"/>
        </w:rPr>
      </w:pPr>
      <w:r>
        <w:rPr>
          <w:b/>
          <w:color w:val="ff0000"/>
          <w:szCs w:val="21"/>
        </w:rPr>
      </w:r>
      <w:r/>
    </w:p>
    <w:p>
      <w:pPr>
        <w:pStyle w:val="679"/>
        <w:rPr>
          <w:b/>
          <w:color w:val="ff0000"/>
          <w:szCs w:val="21"/>
        </w:rPr>
      </w:pPr>
      <w:r>
        <w:rPr>
          <w:b/>
          <w:color w:val="ff0000"/>
          <w:szCs w:val="21"/>
        </w:rPr>
      </w:r>
      <w:r/>
    </w:p>
    <w:p>
      <w:pPr>
        <w:rPr>
          <w:b/>
          <w:color w:val="ff0000"/>
          <w:szCs w:val="21"/>
        </w:rPr>
      </w:pPr>
      <w:r>
        <w:rPr>
          <w:b/>
          <w:color w:val="ff0000"/>
          <w:szCs w:val="21"/>
        </w:rPr>
      </w:r>
      <w:r/>
    </w:p>
    <w:p>
      <w:pPr>
        <w:pStyle w:val="679"/>
        <w:rPr>
          <w:b/>
          <w:color w:val="ff0000"/>
          <w:szCs w:val="21"/>
        </w:rPr>
      </w:pPr>
      <w:r>
        <w:rPr>
          <w:b/>
          <w:color w:val="ff0000"/>
          <w:szCs w:val="21"/>
        </w:rPr>
      </w:r>
      <w:r/>
    </w:p>
    <w:p>
      <w:pPr>
        <w:rPr>
          <w:b/>
          <w:color w:val="ff0000"/>
          <w:szCs w:val="21"/>
        </w:rPr>
      </w:pPr>
      <w:r>
        <w:rPr>
          <w:b/>
          <w:color w:val="ff0000"/>
          <w:szCs w:val="21"/>
        </w:rPr>
      </w:r>
      <w:r/>
    </w:p>
    <w:p>
      <w:pPr>
        <w:pStyle w:val="679"/>
        <w:rPr>
          <w:b/>
          <w:color w:val="ff0000"/>
          <w:szCs w:val="21"/>
        </w:rPr>
      </w:pPr>
      <w:r>
        <w:rPr>
          <w:b/>
          <w:color w:val="ff0000"/>
          <w:szCs w:val="21"/>
        </w:rPr>
      </w:r>
      <w:r/>
    </w:p>
    <w:p>
      <w:pPr>
        <w:rPr>
          <w:b/>
          <w:color w:val="ff0000"/>
          <w:szCs w:val="21"/>
        </w:rPr>
      </w:pPr>
      <w:r>
        <w:rPr>
          <w:b/>
          <w:color w:val="ff0000"/>
          <w:szCs w:val="21"/>
        </w:rPr>
      </w:r>
      <w:r/>
    </w:p>
    <w:p>
      <w:pPr>
        <w:pStyle w:val="679"/>
        <w:rPr>
          <w:b/>
          <w:color w:val="ff0000"/>
          <w:szCs w:val="21"/>
        </w:rPr>
      </w:pPr>
      <w:r>
        <w:rPr>
          <w:b/>
          <w:color w:val="ff0000"/>
          <w:szCs w:val="21"/>
        </w:rPr>
      </w:r>
      <w:r/>
    </w:p>
    <w:p>
      <w:pPr>
        <w:rPr>
          <w:b/>
          <w:color w:val="ff0000"/>
          <w:szCs w:val="21"/>
        </w:rPr>
      </w:pPr>
      <w:r>
        <w:rPr>
          <w:b/>
          <w:color w:val="ff0000"/>
          <w:szCs w:val="21"/>
        </w:rPr>
      </w:r>
      <w:r/>
    </w:p>
    <w:p>
      <w:pPr>
        <w:pStyle w:val="679"/>
        <w:rPr>
          <w:b/>
          <w:color w:val="ff0000"/>
          <w:szCs w:val="21"/>
        </w:rPr>
      </w:pPr>
      <w:r>
        <w:rPr>
          <w:b/>
          <w:color w:val="ff0000"/>
          <w:szCs w:val="21"/>
        </w:rPr>
      </w:r>
      <w:r/>
    </w:p>
    <w:p>
      <w:pPr>
        <w:rPr>
          <w:b/>
          <w:color w:val="ff0000"/>
          <w:szCs w:val="21"/>
        </w:rPr>
      </w:pPr>
      <w:r>
        <w:rPr>
          <w:b/>
          <w:color w:val="ff0000"/>
          <w:szCs w:val="21"/>
        </w:rPr>
      </w:r>
      <w:r/>
    </w:p>
    <w:p>
      <w:pPr>
        <w:pStyle w:val="679"/>
      </w:p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第四章  采购需求</w:t>
      </w:r>
      <w:r/>
    </w:p>
    <w:p>
      <w:pPr>
        <w:pStyle w:val="1035"/>
        <w:numPr>
          <w:ilvl w:val="0"/>
          <w:numId w:val="8"/>
        </w:numPr>
        <w:ind w:left="567" w:hanging="561"/>
        <w:spacing w:line="360" w:lineRule="auto"/>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项目基本情况</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bCs/>
          <w:szCs w:val="21"/>
          <w:lang w:eastAsia="zh-CN"/>
        </w:rPr>
        <w:t xml:space="preserve">JSZC-320506-SZCL-G2026-0003</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bCs/>
          <w:szCs w:val="21"/>
          <w:lang w:eastAsia="zh-CN"/>
        </w:rPr>
        <w:t xml:space="preserve">苏州吴文化博物馆库房文物预防性保护项目</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预算金额：人民币贰佰万元整（</w:t>
      </w:r>
      <w:r>
        <w:rPr>
          <w:rFonts w:hint="default" w:ascii="Arial" w:hAnsi="Arial" w:cs="Arial"/>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2000000.00）</w:t>
      </w:r>
      <w:r>
        <w:rPr>
          <w:rFonts w:hint="eastAsia" w:ascii="宋体" w:hAnsi="宋体" w:cs="宋体"/>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最高限价：人民币贰佰万元整（</w:t>
      </w:r>
      <w:r>
        <w:rPr>
          <w:rFonts w:hint="default" w:ascii="Arial" w:hAnsi="Arial" w:cs="Arial"/>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2000000.00）</w:t>
      </w:r>
      <w:r>
        <w:rPr>
          <w:rFonts w:hint="eastAsia" w:ascii="宋体" w:hAnsi="宋体" w:cs="宋体"/>
        </w:rPr>
        <w:t xml:space="preserve">。</w:t>
      </w:r>
      <w:r/>
    </w:p>
    <w:p>
      <w:pPr>
        <w:pStyle w:val="763"/>
        <w:ind w:firstLine="420"/>
        <w:spacing w:line="360" w:lineRule="auto"/>
        <w:rPr>
          <w:rFonts w:hint="eastAsia" w:hAnsi="宋体" w:cs="宋体"/>
          <w:b/>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合同履行期限：合同签订之日起3个月内完成交货、安装及调试。（具体根据采购单位要求为准）。</w:t>
      </w:r>
      <w:r/>
    </w:p>
    <w:p>
      <w:pPr>
        <w:pStyle w:val="1035"/>
        <w:numPr>
          <w:ilvl w:val="0"/>
          <w:numId w:val="8"/>
        </w:numPr>
        <w:ind w:left="567" w:hanging="561"/>
        <w:spacing w:line="360" w:lineRule="auto"/>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采购内容及标的物清单：</w:t>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620"/>
        <w:gridCol w:w="775"/>
        <w:gridCol w:w="771"/>
        <w:gridCol w:w="6462"/>
      </w:tblGrid>
      <w:tr>
        <w:trPr/>
        <w:tc>
          <w:tcPr>
            <w:tcW w:w="330"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序号</w:t>
            </w:r>
            <w:r/>
          </w:p>
        </w:tc>
        <w:tc>
          <w:tcPr>
            <w:tcW w:w="786"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产品名称</w:t>
            </w:r>
            <w:r/>
          </w:p>
        </w:tc>
        <w:tc>
          <w:tcPr>
            <w:tcW w:w="376"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单位</w:t>
            </w:r>
            <w:r/>
          </w:p>
        </w:tc>
        <w:tc>
          <w:tcPr>
            <w:tcW w:w="374"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数量</w:t>
            </w:r>
            <w:r/>
          </w:p>
        </w:tc>
        <w:tc>
          <w:tcPr>
            <w:tcW w:w="3130"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技术要求</w:t>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一、文物储藏柜架</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多功能文物储藏柜</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32</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1.规格：1200*800*2200mm（±2mm），不少于5层搁物板；</w:t>
            </w:r>
            <w:r/>
          </w:p>
          <w:p>
            <w:pPr>
              <w:jc w:val="left"/>
              <w:spacing w:line="360" w:lineRule="exact"/>
              <w:widowControl/>
              <w:rPr>
                <w:rFonts w:hint="eastAsia" w:ascii="宋体" w:hAnsi="宋体" w:cs="宋体"/>
                <w:szCs w:val="21"/>
              </w:rPr>
            </w:pPr>
            <w:r>
              <w:rPr>
                <w:rFonts w:hint="eastAsia" w:ascii="宋体" w:hAnsi="宋体" w:cs="宋体"/>
                <w:szCs w:val="21"/>
              </w:rPr>
              <w:t xml:space="preserve">2.柜体结构：柜体主要由立柱、底梁、搁板、侧板、挂板、顶板、门板、背板等部件组成。</w:t>
            </w:r>
            <w:r/>
          </w:p>
          <w:p>
            <w:pPr>
              <w:jc w:val="left"/>
              <w:spacing w:line="360" w:lineRule="exact"/>
              <w:widowControl/>
              <w:rPr>
                <w:rFonts w:hint="eastAsia" w:ascii="宋体" w:hAnsi="宋体" w:cs="宋体"/>
                <w:szCs w:val="21"/>
              </w:rPr>
            </w:pPr>
            <w:r>
              <w:rPr>
                <w:rFonts w:hint="eastAsia" w:ascii="宋体" w:hAnsi="宋体" w:cs="宋体"/>
                <w:szCs w:val="21"/>
              </w:rPr>
              <w:t xml:space="preserve">3.柜体部件参数：</w:t>
            </w:r>
            <w:r/>
          </w:p>
          <w:p>
            <w:pPr>
              <w:jc w:val="left"/>
              <w:spacing w:line="360" w:lineRule="exact"/>
              <w:widowControl/>
              <w:rPr>
                <w:rFonts w:hint="eastAsia" w:ascii="宋体" w:hAnsi="宋体" w:cs="宋体"/>
                <w:szCs w:val="21"/>
              </w:rPr>
            </w:pPr>
            <w:r>
              <w:rPr>
                <w:rFonts w:hint="eastAsia" w:ascii="宋体" w:hAnsi="宋体" w:cs="宋体"/>
                <w:szCs w:val="21"/>
              </w:rPr>
              <w:t xml:space="preserve">（1）立柱、横挡采用≥1.5mm冷轧钢板，立柱成型尺寸≥50x39mm，允许尺寸公差±1mm，整体五面四翻边下冲折一体成型工艺，立柱压六筋设计。</w:t>
            </w:r>
            <w:r/>
          </w:p>
          <w:p>
            <w:pPr>
              <w:jc w:val="left"/>
              <w:spacing w:line="360" w:lineRule="exact"/>
              <w:widowControl/>
              <w:rPr>
                <w:rFonts w:hint="eastAsia" w:ascii="宋体" w:hAnsi="宋体" w:cs="宋体"/>
                <w:szCs w:val="21"/>
              </w:rPr>
            </w:pPr>
            <w:r>
              <w:rPr>
                <w:rFonts w:hint="eastAsia" w:ascii="宋体" w:hAnsi="宋体" w:cs="宋体"/>
                <w:szCs w:val="21"/>
              </w:rPr>
              <w:t xml:space="preserve">（2）搁板采用≥1.2mm冷轧钢板，采用六折弯一体成型多筋式搁板。搁板下加筋，筋材料厚度采用≥1.0mm冷轧钢板。</w:t>
            </w:r>
            <w:r/>
          </w:p>
          <w:p>
            <w:pPr>
              <w:jc w:val="left"/>
              <w:spacing w:line="360" w:lineRule="exact"/>
              <w:widowControl/>
              <w:rPr>
                <w:rFonts w:hint="eastAsia" w:ascii="宋体" w:hAnsi="宋体" w:cs="宋体"/>
                <w:szCs w:val="21"/>
              </w:rPr>
            </w:pPr>
            <w:r>
              <w:rPr>
                <w:rFonts w:hint="eastAsia" w:ascii="宋体" w:hAnsi="宋体" w:cs="宋体"/>
                <w:szCs w:val="21"/>
              </w:rPr>
              <w:t xml:space="preserve">（3）挂板采用≥1.5mm冷轧钢板，采用模具一体冲压成型，中间腰形拉伸翻边模成形两个台阶加强孔，孔上下位置设有四根圆筋。</w:t>
            </w:r>
            <w:r/>
          </w:p>
          <w:p>
            <w:pPr>
              <w:jc w:val="left"/>
              <w:spacing w:line="360" w:lineRule="exact"/>
              <w:widowControl/>
              <w:rPr>
                <w:rFonts w:hint="eastAsia" w:ascii="宋体" w:hAnsi="宋体" w:cs="宋体"/>
                <w:szCs w:val="21"/>
              </w:rPr>
            </w:pPr>
            <w:r>
              <w:rPr>
                <w:rFonts w:hint="eastAsia" w:ascii="宋体" w:hAnsi="宋体" w:cs="宋体"/>
                <w:szCs w:val="21"/>
              </w:rPr>
              <w:t xml:space="preserve">（4）侧板、侧封板均采用≥1.0mm冷轧钢板，侧板折弯成凹凸造型，外形美观，不易变形。</w:t>
            </w:r>
            <w:r/>
          </w:p>
          <w:p>
            <w:pPr>
              <w:jc w:val="left"/>
              <w:spacing w:line="360" w:lineRule="exact"/>
              <w:widowControl/>
              <w:rPr>
                <w:rFonts w:hint="eastAsia" w:ascii="宋体" w:hAnsi="宋体" w:cs="宋体"/>
                <w:szCs w:val="21"/>
              </w:rPr>
            </w:pPr>
            <w:r>
              <w:rPr>
                <w:rFonts w:hint="eastAsia" w:ascii="宋体" w:hAnsi="宋体" w:cs="宋体"/>
                <w:szCs w:val="21"/>
              </w:rPr>
              <w:t xml:space="preserve">（5）门板采用≥1.2mm冷轧钢板，数控折弯一体成型工艺，四面翻边结构。门板里加筋，采用≥0.8mm厚冷轧钢板，门板封板，采用≥1.0mm厚冷轧钢板，可有效地将筋和锁栓隐藏。</w:t>
            </w:r>
            <w:r/>
          </w:p>
          <w:p>
            <w:pPr>
              <w:jc w:val="left"/>
              <w:spacing w:line="360" w:lineRule="exact"/>
              <w:widowControl/>
              <w:rPr>
                <w:rFonts w:hint="eastAsia" w:ascii="宋体" w:hAnsi="宋体" w:cs="宋体"/>
                <w:szCs w:val="21"/>
              </w:rPr>
            </w:pPr>
            <w:r>
              <w:rPr>
                <w:rFonts w:hint="eastAsia" w:ascii="宋体" w:hAnsi="宋体" w:cs="宋体"/>
                <w:szCs w:val="21"/>
              </w:rPr>
              <w:t xml:space="preserve">（6）门面锁具旋钮、锁芯采用合金材料，锁片为碳钢材料。沿旋钮顺时针旋转90°可实现柜门开启或关闭。锁芯、锁片可镀铬、锌，可根据需求定制。</w:t>
            </w:r>
            <w:r/>
          </w:p>
          <w:p>
            <w:pPr>
              <w:jc w:val="left"/>
              <w:spacing w:line="360" w:lineRule="exact"/>
              <w:widowControl/>
              <w:rPr>
                <w:rFonts w:hint="eastAsia" w:ascii="宋体" w:hAnsi="宋体" w:cs="宋体"/>
                <w:szCs w:val="21"/>
              </w:rPr>
            </w:pPr>
            <w:r>
              <w:rPr>
                <w:rFonts w:hint="eastAsia" w:ascii="宋体" w:hAnsi="宋体" w:cs="宋体"/>
                <w:szCs w:val="21"/>
              </w:rPr>
              <w:t xml:space="preserve">（7）顶板采用≥1.0mm冷轧钢板，采用一体成型工艺。</w:t>
            </w:r>
            <w:r/>
          </w:p>
          <w:p>
            <w:pPr>
              <w:jc w:val="left"/>
              <w:spacing w:line="360" w:lineRule="exact"/>
              <w:widowControl/>
              <w:rPr>
                <w:rFonts w:hint="eastAsia" w:ascii="宋体" w:hAnsi="宋体" w:cs="宋体"/>
                <w:szCs w:val="21"/>
              </w:rPr>
            </w:pPr>
            <w:r>
              <w:rPr>
                <w:rFonts w:hint="eastAsia" w:ascii="宋体" w:hAnsi="宋体" w:cs="宋体"/>
                <w:szCs w:val="21"/>
              </w:rPr>
              <w:t xml:space="preserve">（8）底梁采用≥2.0mm冷轧钢板，一体成型，U型结构。</w:t>
            </w:r>
            <w:r/>
          </w:p>
          <w:p>
            <w:pPr>
              <w:jc w:val="left"/>
              <w:spacing w:line="360" w:lineRule="exact"/>
              <w:widowControl/>
              <w:rPr>
                <w:rFonts w:hint="eastAsia" w:ascii="宋体" w:hAnsi="宋体" w:cs="宋体"/>
                <w:szCs w:val="21"/>
              </w:rPr>
            </w:pPr>
            <w:r>
              <w:rPr>
                <w:rFonts w:hint="eastAsia" w:ascii="宋体" w:hAnsi="宋体" w:cs="宋体"/>
                <w:szCs w:val="21"/>
              </w:rPr>
              <w:t xml:space="preserve">（9）背板采用≥1.0mm冷轧钢板，背板加筋，采用≥0.8mm厚冷轧钢板。</w:t>
            </w:r>
            <w:r/>
          </w:p>
          <w:p>
            <w:pPr>
              <w:jc w:val="left"/>
              <w:spacing w:line="360" w:lineRule="exact"/>
              <w:rPr>
                <w:rFonts w:hint="eastAsia" w:ascii="宋体" w:hAnsi="宋体" w:cs="宋体"/>
                <w:szCs w:val="21"/>
              </w:rPr>
            </w:pPr>
            <w:r>
              <w:rPr>
                <w:rFonts w:hint="eastAsia" w:ascii="宋体" w:hAnsi="宋体" w:cs="宋体"/>
                <w:szCs w:val="21"/>
              </w:rPr>
              <w:t xml:space="preserve">4.性能：</w:t>
            </w:r>
            <w:r/>
          </w:p>
          <w:p>
            <w:pPr>
              <w:jc w:val="left"/>
              <w:spacing w:line="360" w:lineRule="exact"/>
              <w:rPr>
                <w:rFonts w:hint="eastAsia" w:ascii="宋体" w:hAnsi="宋体" w:cs="宋体"/>
                <w:szCs w:val="21"/>
              </w:rPr>
            </w:pPr>
            <w:r>
              <w:rPr>
                <w:rFonts w:hint="eastAsia" w:ascii="宋体" w:hAnsi="宋体" w:cs="宋体"/>
                <w:szCs w:val="21"/>
              </w:rPr>
              <w:t xml:space="preserve">（▲）（1）多功能文物储藏柜具有较好的抗菌性能，依据QB/T 4371-2012《家具抗菌性能的评价》要求检测，大肠杆菌、金黄色葡萄球菌抑菌率不小于99%，</w:t>
            </w:r>
            <w:r>
              <w:rPr>
                <w:rFonts w:hint="eastAsia" w:ascii="宋体" w:hAnsi="宋体" w:cs="宋体"/>
                <w:color w:val="000000"/>
                <w:szCs w:val="21"/>
                <w:lang w:bidi="ar"/>
              </w:rPr>
              <w:t xml:space="preserve">投标文件中</w:t>
            </w:r>
            <w:r>
              <w:rPr>
                <w:rFonts w:hint="eastAsia" w:ascii="宋体" w:hAnsi="宋体" w:cs="宋体"/>
                <w:szCs w:val="21"/>
              </w:rPr>
              <w:t xml:space="preserve">提供第三方检测机构出具的封面具有 CMA 标识的有效检测报告原件扫描件，并同时提供国家市场监督管理总局【全国认证认可信息公共服务平台】（查询网址：http://cx.cnca.cn/)的检测报告查询截图。</w:t>
            </w:r>
            <w:r/>
          </w:p>
          <w:p>
            <w:pPr>
              <w:jc w:val="left"/>
              <w:spacing w:line="360" w:lineRule="exact"/>
              <w:rPr>
                <w:rFonts w:hint="eastAsia" w:ascii="宋体" w:hAnsi="宋体" w:cs="宋体"/>
                <w:szCs w:val="21"/>
              </w:rPr>
            </w:pPr>
            <w:r>
              <w:rPr>
                <w:rFonts w:hint="eastAsia" w:ascii="宋体" w:hAnsi="宋体" w:cs="宋体"/>
                <w:szCs w:val="21"/>
              </w:rPr>
              <w:t xml:space="preserve">（▲）（2）储藏柜在总额定载荷不低于1000kg情况下，储藏柜的平行度、搁板左右倾斜角、搁板挠度符合GB/T 28200-2011《钢制储物柜（架）技术要求及试验方法》标准要求；</w:t>
            </w:r>
            <w:r>
              <w:rPr>
                <w:rFonts w:hint="eastAsia" w:ascii="宋体" w:hAnsi="宋体" w:cs="宋体"/>
                <w:color w:val="000000"/>
                <w:szCs w:val="21"/>
                <w:lang w:bidi="ar"/>
              </w:rPr>
              <w:t xml:space="preserve">投标文件中</w:t>
            </w:r>
            <w:r>
              <w:rPr>
                <w:rFonts w:hint="eastAsia" w:ascii="宋体" w:hAnsi="宋体" w:cs="宋体"/>
                <w:szCs w:val="21"/>
              </w:rPr>
              <w:t xml:space="preserve">提供第三方检测机构出具的封面具有 CMA 标识的有效检测报告原件扫描件，并同时提供国家市场监督管理总局【全国认证认可信息公共服务平台】（查询网址：http://cx.cnca.cn/)的检测报告查询截图。</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组合式文物储藏柜</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1.规格：1200*800*2200mm（±2mm），上部分不少于2层搁物板，下部分不少于6层抽屉；</w:t>
            </w:r>
            <w:r/>
          </w:p>
          <w:p>
            <w:pPr>
              <w:jc w:val="left"/>
              <w:spacing w:line="360" w:lineRule="exact"/>
              <w:rPr>
                <w:rFonts w:hint="eastAsia" w:ascii="宋体" w:hAnsi="宋体" w:cs="宋体"/>
                <w:szCs w:val="21"/>
              </w:rPr>
            </w:pPr>
            <w:r>
              <w:rPr>
                <w:rFonts w:hint="eastAsia" w:ascii="宋体" w:hAnsi="宋体" w:cs="宋体"/>
                <w:szCs w:val="21"/>
              </w:rPr>
              <w:t xml:space="preserve">2.结构：柜体主要由立柱、底梁、搁板、侧板、挂板、抽屉、顶板、门板、背板等部件组成。</w:t>
            </w:r>
            <w:r/>
          </w:p>
          <w:p>
            <w:pPr>
              <w:jc w:val="left"/>
              <w:spacing w:line="360" w:lineRule="exact"/>
              <w:rPr>
                <w:rFonts w:hint="eastAsia" w:ascii="宋体" w:hAnsi="宋体" w:cs="宋体"/>
                <w:szCs w:val="21"/>
              </w:rPr>
            </w:pPr>
            <w:r>
              <w:rPr>
                <w:rFonts w:hint="eastAsia" w:ascii="宋体" w:hAnsi="宋体" w:cs="宋体"/>
                <w:szCs w:val="21"/>
              </w:rPr>
              <w:t xml:space="preserve">3.柜体部件：</w:t>
            </w:r>
            <w:r/>
          </w:p>
          <w:p>
            <w:pPr>
              <w:jc w:val="left"/>
              <w:spacing w:line="360" w:lineRule="exact"/>
              <w:rPr>
                <w:rFonts w:hint="eastAsia" w:ascii="宋体" w:hAnsi="宋体" w:cs="宋体"/>
                <w:szCs w:val="21"/>
              </w:rPr>
            </w:pPr>
            <w:r>
              <w:rPr>
                <w:rFonts w:hint="eastAsia" w:ascii="宋体" w:hAnsi="宋体" w:cs="宋体"/>
                <w:szCs w:val="21"/>
              </w:rPr>
              <w:t xml:space="preserve">（1）立柱、横挡采用≥1.5mm冷轧钢板，立柱成型尺寸≥50x39mm，允许尺寸公差±1mm，整体五面四翻边下冲折一体成型工艺，立柱压六筋设计。</w:t>
            </w:r>
            <w:r/>
          </w:p>
          <w:p>
            <w:pPr>
              <w:jc w:val="left"/>
              <w:spacing w:line="360" w:lineRule="exact"/>
              <w:rPr>
                <w:rFonts w:hint="eastAsia" w:ascii="宋体" w:hAnsi="宋体" w:cs="宋体"/>
                <w:szCs w:val="21"/>
              </w:rPr>
            </w:pPr>
            <w:r>
              <w:rPr>
                <w:rFonts w:hint="eastAsia" w:ascii="宋体" w:hAnsi="宋体" w:cs="宋体"/>
                <w:szCs w:val="21"/>
              </w:rPr>
              <w:t xml:space="preserve">（2）搁板采用≥1.2mm冷轧钢板，采用六折弯一体成形多筋式搁板。搁板下加筋，筋材料厚度采用≥1.0mm冷轧钢板。</w:t>
            </w:r>
            <w:r/>
          </w:p>
          <w:p>
            <w:pPr>
              <w:jc w:val="left"/>
              <w:spacing w:line="360" w:lineRule="exact"/>
              <w:rPr>
                <w:rFonts w:hint="eastAsia" w:ascii="宋体" w:hAnsi="宋体" w:cs="宋体"/>
                <w:szCs w:val="21"/>
              </w:rPr>
            </w:pPr>
            <w:r>
              <w:rPr>
                <w:rFonts w:hint="eastAsia" w:ascii="宋体" w:hAnsi="宋体" w:cs="宋体"/>
                <w:szCs w:val="21"/>
              </w:rPr>
              <w:t xml:space="preserve">（3）挂板采用≥1.5mm冷轧钢板，采用模具一体冲压成型，中间腰形拉伸翻边模成形两个台阶加强孔，孔上下位置设有四根圆筋。</w:t>
            </w:r>
            <w:r/>
          </w:p>
          <w:p>
            <w:pPr>
              <w:jc w:val="left"/>
              <w:spacing w:line="360" w:lineRule="exact"/>
              <w:rPr>
                <w:rFonts w:hint="eastAsia" w:ascii="宋体" w:hAnsi="宋体" w:cs="宋体"/>
                <w:szCs w:val="21"/>
              </w:rPr>
            </w:pPr>
            <w:r>
              <w:rPr>
                <w:rFonts w:hint="eastAsia" w:ascii="宋体" w:hAnsi="宋体" w:cs="宋体"/>
                <w:szCs w:val="21"/>
              </w:rPr>
              <w:t xml:space="preserve">（4）侧板、侧封板均采用≥1.0mm冷轧钢板，侧板折弯成凹凸造型，外形美观，不易变形。</w:t>
            </w:r>
            <w:r/>
          </w:p>
          <w:p>
            <w:pPr>
              <w:jc w:val="left"/>
              <w:spacing w:line="360" w:lineRule="exact"/>
              <w:rPr>
                <w:rFonts w:hint="eastAsia" w:ascii="宋体" w:hAnsi="宋体" w:cs="宋体"/>
                <w:szCs w:val="21"/>
              </w:rPr>
            </w:pPr>
            <w:r>
              <w:rPr>
                <w:rFonts w:hint="eastAsia" w:ascii="宋体" w:hAnsi="宋体" w:cs="宋体"/>
                <w:szCs w:val="21"/>
              </w:rPr>
              <w:t xml:space="preserve">（5）门板采用≥1.2mm冷轧钢板，数控折弯一体成型工艺，四面翻边结构。门板里加筋，采用≥0.8mm厚冷轧钢板，门板封板，采用≥1.0mm厚冷轧钢板，可有效的将筋和锁栓隐藏。</w:t>
            </w:r>
            <w:r/>
          </w:p>
          <w:p>
            <w:pPr>
              <w:jc w:val="left"/>
              <w:spacing w:line="360" w:lineRule="exact"/>
              <w:rPr>
                <w:rFonts w:hint="eastAsia" w:ascii="宋体" w:hAnsi="宋体" w:cs="宋体"/>
                <w:szCs w:val="21"/>
              </w:rPr>
            </w:pPr>
            <w:r>
              <w:rPr>
                <w:rFonts w:hint="eastAsia" w:ascii="宋体" w:hAnsi="宋体" w:cs="宋体"/>
                <w:szCs w:val="21"/>
              </w:rPr>
              <w:t xml:space="preserve">（6）门面锁具旋钮、锁芯采用合金材料，锁片为碳钢材料。沿旋钮顺时针旋转90°可实现柜门开启或关闭。锁芯、锁片可镀铬、锌，可根据需求定制。</w:t>
            </w:r>
            <w:r/>
          </w:p>
          <w:p>
            <w:pPr>
              <w:jc w:val="left"/>
              <w:spacing w:line="360" w:lineRule="exact"/>
              <w:rPr>
                <w:rFonts w:hint="eastAsia" w:ascii="宋体" w:hAnsi="宋体" w:cs="宋体"/>
                <w:szCs w:val="21"/>
              </w:rPr>
            </w:pPr>
            <w:r>
              <w:rPr>
                <w:rFonts w:hint="eastAsia" w:ascii="宋体" w:hAnsi="宋体" w:cs="宋体"/>
                <w:szCs w:val="21"/>
              </w:rPr>
              <w:t xml:space="preserve">（7）抽屉采用≥1.2mm冷轧钢板，S型结构。抽屉配备重型3节滑轨，采用≥2.0mm冷轧钢板。</w:t>
            </w:r>
            <w:r/>
          </w:p>
          <w:p>
            <w:pPr>
              <w:jc w:val="left"/>
              <w:spacing w:line="360" w:lineRule="exact"/>
              <w:rPr>
                <w:rFonts w:hint="eastAsia" w:ascii="宋体" w:hAnsi="宋体" w:cs="宋体"/>
                <w:szCs w:val="21"/>
              </w:rPr>
            </w:pPr>
            <w:r>
              <w:rPr>
                <w:rFonts w:hint="eastAsia" w:ascii="宋体" w:hAnsi="宋体" w:cs="宋体"/>
                <w:szCs w:val="21"/>
              </w:rPr>
              <w:t xml:space="preserve">（8）顶板：采用≥1.0mm冷轧钢板，一体成型工艺。</w:t>
            </w:r>
            <w:r/>
          </w:p>
          <w:p>
            <w:pPr>
              <w:jc w:val="left"/>
              <w:spacing w:line="360" w:lineRule="exact"/>
              <w:rPr>
                <w:rFonts w:hint="eastAsia" w:ascii="宋体" w:hAnsi="宋体" w:cs="宋体"/>
                <w:szCs w:val="21"/>
              </w:rPr>
            </w:pPr>
            <w:r>
              <w:rPr>
                <w:rFonts w:hint="eastAsia" w:ascii="宋体" w:hAnsi="宋体" w:cs="宋体"/>
                <w:szCs w:val="21"/>
              </w:rPr>
              <w:t xml:space="preserve">（9）底梁：采用≥2.0mm冷轧钢板，一体成型，U型结构。</w:t>
            </w:r>
            <w:r/>
          </w:p>
          <w:p>
            <w:pPr>
              <w:jc w:val="left"/>
              <w:spacing w:line="360" w:lineRule="exact"/>
              <w:rPr>
                <w:rFonts w:hint="eastAsia" w:ascii="宋体" w:hAnsi="宋体" w:cs="宋体"/>
                <w:szCs w:val="21"/>
              </w:rPr>
            </w:pPr>
            <w:r>
              <w:rPr>
                <w:rFonts w:hint="eastAsia" w:ascii="宋体" w:hAnsi="宋体" w:cs="宋体"/>
                <w:szCs w:val="21"/>
              </w:rPr>
              <w:t xml:space="preserve">（10）背板采用≥1.0mm冷轧钢板。背板加筋，采用≥0.8mm厚冷轧钢板。</w:t>
            </w:r>
            <w:r/>
          </w:p>
          <w:p>
            <w:pPr>
              <w:jc w:val="left"/>
              <w:spacing w:line="360" w:lineRule="exact"/>
              <w:rPr>
                <w:rFonts w:hint="eastAsia" w:ascii="宋体" w:hAnsi="宋体" w:cs="宋体"/>
                <w:szCs w:val="21"/>
              </w:rPr>
            </w:pPr>
            <w:r>
              <w:rPr>
                <w:rFonts w:hint="eastAsia" w:ascii="宋体" w:hAnsi="宋体" w:cs="宋体"/>
                <w:szCs w:val="21"/>
              </w:rPr>
              <w:t xml:space="preserve">（▲）4.性能：储藏柜在产品总额定载荷不低于1000kg情况下，均布载荷强度试验、集中载荷强度试验符合GB/T 28200-2011《钢制储物柜（架）技术要求及试验方法》标准要求；</w:t>
            </w:r>
            <w:r>
              <w:rPr>
                <w:rFonts w:hint="eastAsia" w:ascii="宋体" w:hAnsi="宋体" w:cs="宋体"/>
                <w:color w:val="000000"/>
                <w:szCs w:val="21"/>
                <w:lang w:bidi="ar"/>
              </w:rPr>
              <w:t xml:space="preserve">投标文件中</w:t>
            </w:r>
            <w:r>
              <w:rPr>
                <w:rFonts w:hint="eastAsia" w:ascii="宋体" w:hAnsi="宋体" w:cs="宋体"/>
                <w:szCs w:val="21"/>
              </w:rPr>
              <w:t xml:space="preserve">提供第三方检测机构出具的封面具有 CMA 标识的有效检测报告原件扫描件，并同时提供国家市场监督管理总局【全国认证认可信息公共服务平台】（查询网址：http://cx.cnca.cn/)的检测报告查询截图。</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抽屉式文物储藏柜</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color w:val="000000"/>
                <w:szCs w:val="21"/>
                <w:lang w:bidi="ar"/>
              </w:rPr>
              <w:t xml:space="preserve">1.规格：1800*800*2200mm</w:t>
            </w:r>
            <w:r>
              <w:rPr>
                <w:rFonts w:hint="eastAsia" w:ascii="宋体" w:hAnsi="宋体" w:cs="宋体"/>
                <w:szCs w:val="21"/>
              </w:rPr>
              <w:t xml:space="preserve">（±2mm），不少于8层抽屉；</w:t>
            </w:r>
            <w:r/>
          </w:p>
          <w:p>
            <w:pPr>
              <w:jc w:val="left"/>
              <w:spacing w:line="360" w:lineRule="exact"/>
              <w:rPr>
                <w:rFonts w:hint="eastAsia" w:ascii="宋体" w:hAnsi="宋体" w:cs="宋体"/>
                <w:szCs w:val="21"/>
              </w:rPr>
            </w:pPr>
            <w:r>
              <w:rPr>
                <w:rFonts w:hint="eastAsia" w:ascii="宋体" w:hAnsi="宋体" w:cs="宋体"/>
                <w:szCs w:val="21"/>
              </w:rPr>
              <w:t xml:space="preserve">2.柜体结构：柜体主要由立柱、底梁、侧板、抽屉、顶板、背板等部件组成。</w:t>
            </w:r>
            <w:r/>
          </w:p>
          <w:p>
            <w:pPr>
              <w:jc w:val="left"/>
              <w:spacing w:line="360" w:lineRule="exact"/>
              <w:rPr>
                <w:rFonts w:hint="eastAsia" w:ascii="宋体" w:hAnsi="宋体" w:cs="宋体"/>
                <w:szCs w:val="21"/>
              </w:rPr>
            </w:pPr>
            <w:r>
              <w:rPr>
                <w:rFonts w:hint="eastAsia" w:ascii="宋体" w:hAnsi="宋体" w:cs="宋体"/>
                <w:szCs w:val="21"/>
              </w:rPr>
              <w:t xml:space="preserve">3.柜体部件参数：</w:t>
            </w:r>
            <w:r/>
          </w:p>
          <w:p>
            <w:pPr>
              <w:jc w:val="left"/>
              <w:spacing w:line="360" w:lineRule="exact"/>
              <w:rPr>
                <w:rFonts w:hint="eastAsia" w:ascii="宋体" w:hAnsi="宋体" w:cs="宋体"/>
                <w:szCs w:val="21"/>
              </w:rPr>
            </w:pPr>
            <w:r>
              <w:rPr>
                <w:rFonts w:hint="eastAsia" w:ascii="宋体" w:hAnsi="宋体" w:cs="宋体"/>
                <w:szCs w:val="21"/>
              </w:rPr>
              <w:t xml:space="preserve">（1）立柱、横挡采用≥1.5mm冷轧钢板，立柱成型尺寸≥50x39mm，允许尺寸公差±1mm，整体五面四翻边下冲折一体成型工艺，立柱压六筋设计。</w:t>
            </w:r>
            <w:r/>
          </w:p>
          <w:p>
            <w:pPr>
              <w:jc w:val="left"/>
              <w:spacing w:line="360" w:lineRule="exact"/>
              <w:rPr>
                <w:rFonts w:hint="eastAsia" w:ascii="宋体" w:hAnsi="宋体" w:cs="宋体"/>
                <w:szCs w:val="21"/>
              </w:rPr>
            </w:pPr>
            <w:r>
              <w:rPr>
                <w:rFonts w:hint="eastAsia" w:ascii="宋体" w:hAnsi="宋体" w:cs="宋体"/>
                <w:szCs w:val="21"/>
              </w:rPr>
              <w:t xml:space="preserve">（2）侧板、侧封板均采用≥1.0mm冷轧钢板，侧板折弯成凹凸造型，外形美观，不易变形。</w:t>
            </w:r>
            <w:r/>
          </w:p>
          <w:p>
            <w:pPr>
              <w:jc w:val="left"/>
              <w:spacing w:line="360" w:lineRule="exact"/>
              <w:rPr>
                <w:rFonts w:hint="eastAsia" w:ascii="宋体" w:hAnsi="宋体" w:cs="宋体"/>
                <w:szCs w:val="21"/>
              </w:rPr>
            </w:pPr>
            <w:r>
              <w:rPr>
                <w:rFonts w:hint="eastAsia" w:ascii="宋体" w:hAnsi="宋体" w:cs="宋体"/>
                <w:szCs w:val="21"/>
              </w:rPr>
              <w:t xml:space="preserve">（3）抽屉采用≥1.2mm冷轧钢板，S型结构。抽屉配备重型3节滑轨，采用≥2.0mm冷轧钢板。</w:t>
            </w:r>
            <w:r/>
          </w:p>
          <w:p>
            <w:pPr>
              <w:jc w:val="left"/>
              <w:spacing w:line="360" w:lineRule="exact"/>
              <w:rPr>
                <w:rFonts w:hint="eastAsia" w:ascii="宋体" w:hAnsi="宋体" w:cs="宋体"/>
                <w:szCs w:val="21"/>
              </w:rPr>
            </w:pPr>
            <w:r>
              <w:rPr>
                <w:rFonts w:hint="eastAsia" w:ascii="宋体" w:hAnsi="宋体" w:cs="宋体"/>
                <w:szCs w:val="21"/>
              </w:rPr>
              <w:t xml:space="preserve">（4）顶板采用≥1.0mm冷轧钢板，一体成型工艺。</w:t>
            </w:r>
            <w:r/>
          </w:p>
          <w:p>
            <w:pPr>
              <w:jc w:val="left"/>
              <w:spacing w:line="360" w:lineRule="exact"/>
              <w:rPr>
                <w:rFonts w:hint="eastAsia" w:ascii="宋体" w:hAnsi="宋体" w:cs="宋体"/>
                <w:szCs w:val="21"/>
              </w:rPr>
            </w:pPr>
            <w:r>
              <w:rPr>
                <w:rFonts w:hint="eastAsia" w:ascii="宋体" w:hAnsi="宋体" w:cs="宋体"/>
                <w:szCs w:val="21"/>
              </w:rPr>
              <w:t xml:space="preserve">（5）底梁采用≥2.0mm冷轧钢板，一体成型，U型结构。</w:t>
            </w:r>
            <w:r/>
          </w:p>
          <w:p>
            <w:pPr>
              <w:jc w:val="left"/>
              <w:spacing w:line="360" w:lineRule="exact"/>
              <w:rPr>
                <w:rFonts w:hint="eastAsia" w:ascii="宋体" w:hAnsi="宋体" w:cs="宋体"/>
                <w:szCs w:val="21"/>
              </w:rPr>
            </w:pPr>
            <w:r>
              <w:rPr>
                <w:rFonts w:hint="eastAsia" w:ascii="宋体" w:hAnsi="宋体" w:cs="宋体"/>
                <w:szCs w:val="21"/>
              </w:rPr>
              <w:t xml:space="preserve">（6）背板采用≥1.0mm冷轧钢板。背板加筋，采用≥0.8mm厚冷轧钢板。</w:t>
            </w:r>
            <w:r/>
          </w:p>
          <w:p>
            <w:pPr>
              <w:jc w:val="left"/>
              <w:spacing w:line="360" w:lineRule="exact"/>
              <w:rPr>
                <w:rFonts w:hint="eastAsia" w:ascii="宋体" w:hAnsi="宋体" w:cs="宋体"/>
                <w:szCs w:val="21"/>
              </w:rPr>
            </w:pPr>
            <w:r>
              <w:rPr>
                <w:rFonts w:hint="eastAsia" w:ascii="宋体" w:hAnsi="宋体" w:cs="宋体"/>
                <w:szCs w:val="21"/>
              </w:rPr>
              <w:t xml:space="preserve">（▲）4.性能：抽屉式文物储藏柜具有较好的漆膜耐霉菌性能，依据GB/T 1741-2020《漆膜耐霉菌性测定法》要求检测，耐霉菌性等级达到0级，</w:t>
            </w:r>
            <w:r>
              <w:rPr>
                <w:rFonts w:hint="eastAsia" w:ascii="宋体" w:hAnsi="宋体" w:cs="宋体"/>
                <w:color w:val="000000"/>
                <w:szCs w:val="21"/>
                <w:lang w:bidi="ar"/>
              </w:rPr>
              <w:t xml:space="preserve">投标文件中</w:t>
            </w:r>
            <w:r>
              <w:rPr>
                <w:rFonts w:hint="eastAsia" w:ascii="宋体" w:hAnsi="宋体" w:cs="宋体"/>
                <w:szCs w:val="21"/>
              </w:rPr>
              <w:t xml:space="preserve">提供第三方检测机构出具的封面具有 CMA 标识的有效检测报告原件扫描件，并同时提供国家市场监督管理总局【全国认证认可信息公共服务平台】（查询网址：http://cx.cnca.cn/)的检测报告查询截图。</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网片式文物储藏柜</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1.规格：1500*1000*2200mm（±2mm）；</w:t>
            </w:r>
            <w:r/>
          </w:p>
          <w:p>
            <w:pPr>
              <w:jc w:val="left"/>
              <w:spacing w:line="360" w:lineRule="exact"/>
              <w:rPr>
                <w:rFonts w:hint="eastAsia" w:ascii="宋体" w:hAnsi="宋体" w:cs="宋体"/>
                <w:szCs w:val="21"/>
              </w:rPr>
            </w:pPr>
            <w:r>
              <w:rPr>
                <w:rFonts w:hint="eastAsia" w:ascii="宋体" w:hAnsi="宋体" w:cs="宋体"/>
                <w:szCs w:val="21"/>
              </w:rPr>
              <w:t xml:space="preserve">2.结构：主体结构由底座、立柱、油画挂网、挂网框、挂网把手、上下滑道、护板、门板、中（侧）封板矩形顶板及不锈联结配件组装而成，模块化生产及拆装。现场组装后，形成5—10组推拉式双面油画挂网。</w:t>
            </w:r>
            <w:r/>
          </w:p>
          <w:p>
            <w:pPr>
              <w:jc w:val="left"/>
              <w:spacing w:line="360" w:lineRule="exact"/>
              <w:rPr>
                <w:rFonts w:hint="eastAsia" w:ascii="宋体" w:hAnsi="宋体" w:cs="宋体"/>
                <w:szCs w:val="21"/>
              </w:rPr>
            </w:pPr>
            <w:r>
              <w:rPr>
                <w:rFonts w:hint="eastAsia" w:ascii="宋体" w:hAnsi="宋体" w:cs="宋体"/>
                <w:szCs w:val="21"/>
              </w:rPr>
              <w:t xml:space="preserve">3.性能：</w:t>
            </w:r>
            <w:r/>
          </w:p>
          <w:p>
            <w:pPr>
              <w:jc w:val="left"/>
              <w:spacing w:line="360" w:lineRule="exact"/>
              <w:rPr>
                <w:rFonts w:hint="eastAsia" w:ascii="宋体" w:hAnsi="宋体" w:cs="宋体"/>
                <w:szCs w:val="21"/>
              </w:rPr>
            </w:pPr>
            <w:r>
              <w:rPr>
                <w:rFonts w:hint="eastAsia" w:ascii="宋体" w:hAnsi="宋体" w:cs="宋体"/>
                <w:szCs w:val="21"/>
              </w:rPr>
              <w:t xml:space="preserve">（1）各部件安装要求牢固可靠、间隙均匀、无松动现象，确保同节不同组油画框平整，间隙均匀。上下滑道滑轨采用重型三节静音滑轨。滑轨抽拉阻尼适中，并安装限位装置，在柜体发生一定幅度位移的情况下，油画框保持锁止紧闭状态，不会向外滑出。</w:t>
            </w:r>
            <w:r/>
          </w:p>
          <w:p>
            <w:pPr>
              <w:jc w:val="left"/>
              <w:spacing w:line="360" w:lineRule="exact"/>
              <w:rPr>
                <w:rFonts w:hint="eastAsia" w:ascii="宋体" w:hAnsi="宋体" w:cs="宋体"/>
                <w:szCs w:val="21"/>
              </w:rPr>
            </w:pPr>
            <w:r>
              <w:rPr>
                <w:rFonts w:hint="eastAsia" w:ascii="宋体" w:hAnsi="宋体" w:cs="宋体"/>
                <w:szCs w:val="21"/>
              </w:rPr>
              <w:t xml:space="preserve">（2）各部件采用冷轧钢板模具冲压成形,具有较强的互换性和通用性。柜体稳定可靠，每组油画框垂直承重需达到100Kg以上，挂网、挂网框、架体、立柱无变形，架体无倾斜现象，经48小时承重试验后，三节滑轨抽拉自如，无阻滞无形变。</w:t>
            </w:r>
            <w:r/>
          </w:p>
          <w:p>
            <w:pPr>
              <w:jc w:val="left"/>
              <w:spacing w:line="360" w:lineRule="exact"/>
              <w:rPr>
                <w:rFonts w:hint="eastAsia" w:ascii="宋体" w:hAnsi="宋体" w:cs="宋体"/>
                <w:szCs w:val="21"/>
              </w:rPr>
            </w:pPr>
            <w:r>
              <w:rPr>
                <w:rFonts w:hint="eastAsia" w:ascii="宋体" w:hAnsi="宋体" w:cs="宋体"/>
                <w:szCs w:val="21"/>
              </w:rPr>
              <w:t xml:space="preserve">（3）架体外观颜色搭配符合博物馆整体风格，要求简洁厚重、美观大方。护板采用冷轧钢板压折成型，并做凹凸造型，以增加结构强度，边缘做R5度角处理，满足人体工学，防止直角直边对工作人员的意外损伤。</w:t>
            </w:r>
            <w:r/>
          </w:p>
          <w:p>
            <w:pPr>
              <w:jc w:val="left"/>
              <w:spacing w:line="360" w:lineRule="exact"/>
              <w:rPr>
                <w:rFonts w:hint="eastAsia" w:ascii="宋体" w:hAnsi="宋体" w:cs="宋体"/>
                <w:szCs w:val="21"/>
              </w:rPr>
            </w:pPr>
            <w:r>
              <w:rPr>
                <w:rFonts w:hint="eastAsia" w:ascii="宋体" w:hAnsi="宋体" w:cs="宋体"/>
                <w:szCs w:val="21"/>
              </w:rPr>
              <w:t xml:space="preserve">（4）正护板上标准安装钢制目录标签框，以实现对当列文物存储信息的检索与查询。</w:t>
            </w:r>
            <w:r/>
          </w:p>
          <w:p>
            <w:pPr>
              <w:jc w:val="left"/>
              <w:spacing w:line="360" w:lineRule="exact"/>
              <w:rPr>
                <w:rFonts w:hint="eastAsia" w:ascii="宋体" w:hAnsi="宋体" w:cs="宋体"/>
                <w:szCs w:val="21"/>
              </w:rPr>
            </w:pPr>
            <w:r>
              <w:rPr>
                <w:rFonts w:hint="eastAsia" w:ascii="宋体" w:hAnsi="宋体" w:cs="宋体"/>
                <w:szCs w:val="21"/>
              </w:rPr>
              <w:t xml:space="preserve">4.材料：底框δ≥2.5，挂网框δ≥2.0，立柱δ≥2.0，挂网不锈钢（304）Φ≥5.0，矩形顶板δ≥1.0，中（侧）封板δ≥1.0。</w:t>
            </w:r>
            <w:r/>
          </w:p>
          <w:p>
            <w:pPr>
              <w:jc w:val="left"/>
              <w:spacing w:line="360" w:lineRule="exact"/>
              <w:rPr>
                <w:rFonts w:hint="eastAsia" w:ascii="宋体" w:hAnsi="宋体" w:cs="宋体"/>
                <w:szCs w:val="21"/>
              </w:rPr>
            </w:pPr>
            <w:r>
              <w:rPr>
                <w:rFonts w:hint="eastAsia" w:ascii="宋体" w:hAnsi="宋体" w:cs="宋体"/>
                <w:szCs w:val="21"/>
              </w:rPr>
              <w:t xml:space="preserve">5.工艺：</w:t>
            </w:r>
            <w:r/>
          </w:p>
          <w:p>
            <w:pPr>
              <w:jc w:val="left"/>
              <w:spacing w:line="360" w:lineRule="exact"/>
              <w:rPr>
                <w:rFonts w:hint="eastAsia" w:ascii="宋体" w:hAnsi="宋体" w:cs="宋体"/>
                <w:szCs w:val="21"/>
              </w:rPr>
            </w:pPr>
            <w:r>
              <w:rPr>
                <w:rFonts w:hint="eastAsia" w:ascii="宋体" w:hAnsi="宋体" w:cs="宋体"/>
                <w:szCs w:val="21"/>
              </w:rPr>
              <w:t xml:space="preserve">（1）产品表面磷化处理工艺处理及质量水平符合国家标准规定要求。零件在涂覆前均应进行清洗、除锈、脱脂、防锈、表调、磷化等工序，涂层厚度为60—70um，光泽度为60—70%，硬度为＞0.4；冲击强度为＞4N/M，附着力不低于2级。</w:t>
            </w:r>
            <w:r/>
          </w:p>
          <w:p>
            <w:pPr>
              <w:jc w:val="left"/>
              <w:spacing w:line="360" w:lineRule="exact"/>
              <w:rPr>
                <w:rFonts w:hint="eastAsia" w:ascii="宋体" w:hAnsi="宋体" w:cs="宋体"/>
                <w:szCs w:val="21"/>
              </w:rPr>
            </w:pPr>
            <w:r>
              <w:rPr>
                <w:rFonts w:hint="eastAsia" w:ascii="宋体" w:hAnsi="宋体" w:cs="宋体"/>
                <w:szCs w:val="21"/>
              </w:rPr>
              <w:t xml:space="preserve">（2）所用焊件牢固，焊痕光滑、平整。各零件、组合件表面应光滑、平整、无尖角、突起，无裂痕伤痕。</w:t>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二、文物囊匣</w:t>
            </w:r>
            <w:r/>
          </w:p>
        </w:tc>
      </w:tr>
      <w:tr>
        <w:trPr>
          <w:trHeight w:val="1322"/>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摇盖式（翻盖式）囊匣</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204</w:t>
            </w:r>
            <w:r/>
          </w:p>
        </w:tc>
        <w:tc>
          <w:tcPr>
            <w:tcW w:w="3130" w:type="pct"/>
            <w:vAlign w:val="center"/>
            <w:vMerge w:val="restart"/>
            <w:textDirection w:val="lrTb"/>
            <w:noWrap w:val="false"/>
          </w:tcPr>
          <w:p>
            <w:pPr>
              <w:jc w:val="left"/>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1.根据文物尺寸定制；</w:t>
            </w:r>
            <w:r/>
          </w:p>
          <w:p>
            <w:pPr>
              <w:jc w:val="left"/>
              <w:spacing w:line="360" w:lineRule="exact"/>
              <w:rPr>
                <w:rFonts w:hint="eastAsia" w:ascii="宋体" w:hAnsi="宋体" w:cs="宋体"/>
                <w:szCs w:val="21"/>
              </w:rPr>
            </w:pPr>
            <w:r>
              <w:rPr>
                <w:rFonts w:hint="eastAsia" w:ascii="宋体" w:hAnsi="宋体" w:cs="宋体"/>
                <w:szCs w:val="21"/>
              </w:rPr>
              <w:t xml:space="preserve">2.囊匣木质外层：</w:t>
            </w:r>
            <w:r/>
          </w:p>
          <w:p>
            <w:pPr>
              <w:jc w:val="left"/>
              <w:spacing w:line="360" w:lineRule="exact"/>
              <w:rPr>
                <w:rFonts w:hint="eastAsia" w:ascii="宋体" w:hAnsi="宋体" w:cs="宋体"/>
                <w:szCs w:val="21"/>
              </w:rPr>
            </w:pPr>
            <w:r>
              <w:rPr>
                <w:rFonts w:hint="eastAsia" w:ascii="宋体" w:hAnsi="宋体" w:cs="宋体"/>
                <w:szCs w:val="21"/>
              </w:rPr>
              <w:t xml:space="preserve">（1）木质外层采用奥松板，内部结合强度高，硬度大，不易变形。</w:t>
            </w:r>
            <w:r/>
          </w:p>
          <w:p>
            <w:pPr>
              <w:jc w:val="left"/>
              <w:spacing w:line="360" w:lineRule="exact"/>
              <w:rPr>
                <w:rFonts w:hint="eastAsia" w:ascii="宋体" w:hAnsi="宋体" w:cs="宋体"/>
                <w:szCs w:val="21"/>
              </w:rPr>
            </w:pPr>
            <w:r>
              <w:rPr>
                <w:rFonts w:hint="eastAsia" w:ascii="宋体" w:hAnsi="宋体" w:cs="宋体"/>
                <w:szCs w:val="21"/>
              </w:rPr>
              <w:t xml:space="preserve">（2）采用环保材料，奥松板甲醛释放量≤0.124mg/m³。</w:t>
            </w:r>
            <w:r/>
          </w:p>
          <w:p>
            <w:pPr>
              <w:jc w:val="left"/>
              <w:spacing w:line="360" w:lineRule="exact"/>
              <w:rPr>
                <w:rFonts w:hint="eastAsia" w:ascii="宋体" w:hAnsi="宋体" w:cs="宋体"/>
                <w:szCs w:val="21"/>
              </w:rPr>
            </w:pPr>
            <w:r>
              <w:rPr>
                <w:rFonts w:hint="eastAsia" w:ascii="宋体" w:hAnsi="宋体" w:cs="宋体"/>
                <w:szCs w:val="21"/>
              </w:rPr>
              <w:t xml:space="preserve">3.无酸瓦楞纸板：</w:t>
            </w:r>
            <w:r/>
          </w:p>
          <w:p>
            <w:pPr>
              <w:jc w:val="left"/>
              <w:spacing w:line="360" w:lineRule="exact"/>
              <w:rPr>
                <w:rFonts w:hint="eastAsia" w:ascii="宋体" w:hAnsi="宋体" w:cs="宋体"/>
                <w:szCs w:val="21"/>
              </w:rPr>
            </w:pPr>
            <w:r>
              <w:rPr>
                <w:rFonts w:hint="eastAsia" w:ascii="宋体" w:hAnsi="宋体" w:cs="宋体"/>
                <w:szCs w:val="21"/>
              </w:rPr>
              <w:t xml:space="preserve">（1）浆料由 100%纯木浆或棉浆制成，不含回收浆；</w:t>
            </w:r>
            <w:r/>
          </w:p>
          <w:p>
            <w:pPr>
              <w:jc w:val="left"/>
              <w:spacing w:line="360" w:lineRule="exact"/>
              <w:rPr>
                <w:rFonts w:hint="eastAsia" w:ascii="宋体" w:hAnsi="宋体" w:cs="宋体"/>
                <w:szCs w:val="21"/>
              </w:rPr>
            </w:pPr>
            <w:r>
              <w:rPr>
                <w:rFonts w:hint="eastAsia" w:ascii="宋体" w:hAnsi="宋体" w:cs="宋体"/>
                <w:szCs w:val="21"/>
              </w:rPr>
              <w:t xml:space="preserve">（2）金属离子含量（铜离子、铁离子）总含量不高于 50mg/kg。</w:t>
            </w:r>
            <w:r/>
          </w:p>
          <w:p>
            <w:pPr>
              <w:jc w:val="left"/>
              <w:spacing w:line="360" w:lineRule="exact"/>
              <w:rPr>
                <w:rFonts w:hint="eastAsia" w:ascii="宋体" w:hAnsi="宋体" w:cs="宋体"/>
                <w:szCs w:val="21"/>
              </w:rPr>
            </w:pPr>
            <w:r>
              <w:rPr>
                <w:rFonts w:hint="eastAsia" w:ascii="宋体" w:hAnsi="宋体" w:cs="宋体"/>
                <w:szCs w:val="21"/>
              </w:rPr>
              <w:t xml:space="preserve">（3）木质素卡伯值不超过5。</w:t>
            </w:r>
            <w:r/>
          </w:p>
          <w:p>
            <w:pPr>
              <w:jc w:val="left"/>
              <w:spacing w:line="360" w:lineRule="exact"/>
              <w:rPr>
                <w:rFonts w:hint="eastAsia" w:ascii="宋体" w:hAnsi="宋体" w:cs="宋体"/>
                <w:szCs w:val="21"/>
              </w:rPr>
            </w:pPr>
            <w:r>
              <w:rPr>
                <w:rFonts w:hint="eastAsia" w:ascii="宋体" w:hAnsi="宋体" w:cs="宋体"/>
                <w:szCs w:val="21"/>
              </w:rPr>
              <w:t xml:space="preserve">（4）pH值：无缓冲剂的无酸纸板的 pH 值 7.0～7.5；带缓冲剂的无酸纸板的pH 值为 8.0-9.5或中性。</w:t>
            </w:r>
            <w:r/>
          </w:p>
          <w:p>
            <w:pPr>
              <w:jc w:val="left"/>
              <w:spacing w:line="360" w:lineRule="exact"/>
              <w:rPr>
                <w:rFonts w:hint="eastAsia" w:ascii="宋体" w:hAnsi="宋体" w:cs="宋体"/>
                <w:szCs w:val="21"/>
              </w:rPr>
            </w:pPr>
            <w:r>
              <w:rPr>
                <w:rFonts w:hint="eastAsia" w:ascii="宋体" w:hAnsi="宋体" w:cs="宋体"/>
                <w:szCs w:val="21"/>
              </w:rPr>
              <w:t xml:space="preserve">（5）碱性缓冲剂：带缓冲剂的无酸纸板/纸的碱性缓冲剂含量在2%～5%之间（以 CaCO3 计）。</w:t>
            </w:r>
            <w:r/>
          </w:p>
          <w:p>
            <w:pPr>
              <w:jc w:val="left"/>
              <w:spacing w:line="360" w:lineRule="exact"/>
              <w:rPr>
                <w:rFonts w:hint="eastAsia" w:ascii="宋体" w:hAnsi="宋体" w:cs="宋体"/>
                <w:szCs w:val="21"/>
              </w:rPr>
            </w:pPr>
            <w:r>
              <w:rPr>
                <w:rFonts w:hint="eastAsia" w:ascii="宋体" w:hAnsi="宋体" w:cs="宋体"/>
                <w:szCs w:val="21"/>
              </w:rPr>
              <w:t xml:space="preserve">（6）不含硫化物；不含荧光增白剂。</w:t>
            </w:r>
            <w:r/>
          </w:p>
          <w:p>
            <w:pPr>
              <w:jc w:val="left"/>
              <w:spacing w:line="360" w:lineRule="exact"/>
              <w:rPr>
                <w:rFonts w:hint="eastAsia" w:ascii="宋体" w:hAnsi="宋体" w:cs="宋体"/>
                <w:szCs w:val="21"/>
              </w:rPr>
            </w:pPr>
            <w:r>
              <w:rPr>
                <w:rFonts w:hint="eastAsia" w:ascii="宋体" w:hAnsi="宋体" w:cs="宋体"/>
                <w:szCs w:val="21"/>
              </w:rPr>
              <w:t xml:space="preserve">4.内囊：</w:t>
            </w:r>
            <w:r/>
          </w:p>
          <w:p>
            <w:pPr>
              <w:jc w:val="left"/>
              <w:spacing w:line="360" w:lineRule="exact"/>
              <w:rPr>
                <w:rFonts w:hint="eastAsia" w:ascii="宋体" w:hAnsi="宋体" w:cs="宋体"/>
                <w:szCs w:val="21"/>
              </w:rPr>
            </w:pPr>
            <w:r>
              <w:rPr>
                <w:rFonts w:hint="eastAsia" w:ascii="宋体" w:hAnsi="宋体" w:cs="宋体"/>
                <w:szCs w:val="21"/>
              </w:rPr>
              <w:t xml:space="preserve">（1）内囊需使用棉卷，采用纯天然棉花。</w:t>
            </w:r>
            <w:r/>
          </w:p>
          <w:p>
            <w:pPr>
              <w:jc w:val="left"/>
              <w:spacing w:line="360" w:lineRule="exact"/>
              <w:rPr>
                <w:rFonts w:hint="eastAsia" w:ascii="宋体" w:hAnsi="宋体" w:cs="宋体"/>
                <w:szCs w:val="21"/>
              </w:rPr>
            </w:pPr>
            <w:r>
              <w:rPr>
                <w:rFonts w:hint="eastAsia" w:ascii="宋体" w:hAnsi="宋体" w:cs="宋体"/>
                <w:szCs w:val="21"/>
              </w:rPr>
              <w:t xml:space="preserve">（2）棉卷与藏品之间有相应的回弹力，将藏品置于囊匣内时，六个方向均与棉花内囊接触，保证物囊吻合。</w:t>
            </w:r>
            <w:r/>
          </w:p>
          <w:p>
            <w:pPr>
              <w:jc w:val="left"/>
              <w:spacing w:line="360" w:lineRule="exact"/>
              <w:rPr>
                <w:rFonts w:hint="eastAsia" w:ascii="宋体" w:hAnsi="宋体" w:cs="宋体"/>
                <w:szCs w:val="21"/>
              </w:rPr>
            </w:pPr>
            <w:r>
              <w:rPr>
                <w:rFonts w:hint="eastAsia" w:ascii="宋体" w:hAnsi="宋体" w:cs="宋体"/>
                <w:szCs w:val="21"/>
              </w:rPr>
              <w:t xml:space="preserve">（3）内囊平整，藏品在囊匣内定位准确，深度适宜。</w:t>
            </w:r>
            <w:r/>
          </w:p>
          <w:p>
            <w:pPr>
              <w:jc w:val="left"/>
              <w:spacing w:line="360" w:lineRule="exact"/>
              <w:rPr>
                <w:rFonts w:hint="eastAsia" w:ascii="宋体" w:hAnsi="宋体" w:cs="宋体"/>
                <w:szCs w:val="21"/>
              </w:rPr>
            </w:pPr>
            <w:r>
              <w:rPr>
                <w:rFonts w:hint="eastAsia" w:ascii="宋体" w:hAnsi="宋体" w:cs="宋体"/>
                <w:szCs w:val="21"/>
              </w:rPr>
              <w:t xml:space="preserve">（4）内衬材料精细处理，做到光滑、不挂丝、无酸、无静电，特别注重铺衬到位。</w:t>
            </w:r>
            <w:r/>
          </w:p>
          <w:p>
            <w:pPr>
              <w:jc w:val="left"/>
              <w:spacing w:line="360" w:lineRule="exact"/>
              <w:rPr>
                <w:rFonts w:hint="eastAsia" w:ascii="宋体" w:hAnsi="宋体" w:cs="宋体"/>
                <w:szCs w:val="21"/>
              </w:rPr>
            </w:pPr>
            <w:r>
              <w:rPr>
                <w:rFonts w:hint="eastAsia" w:ascii="宋体" w:hAnsi="宋体" w:cs="宋体"/>
                <w:szCs w:val="21"/>
              </w:rPr>
              <w:t xml:space="preserve">5.固定材料：应尽量避免使用胶粘剂。若使用，须为无酸胶粘剂，胶粘剂中不能含有塑化剂、硫化物、铜离子、铁离子、氧化剂等物质。不引起长霉、发黄、变色、分层等。若使用胶带，应为无酸性，不腐蚀被粘物，不脱胶、溢胶，黏性持久不发黄变质。</w:t>
            </w:r>
            <w:r/>
          </w:p>
          <w:p>
            <w:pPr>
              <w:jc w:val="left"/>
              <w:spacing w:line="360" w:lineRule="exact"/>
              <w:rPr>
                <w:rFonts w:hint="eastAsia" w:ascii="宋体" w:hAnsi="宋体" w:cs="宋体"/>
                <w:szCs w:val="21"/>
              </w:rPr>
            </w:pPr>
            <w:r>
              <w:rPr>
                <w:rFonts w:hint="eastAsia" w:ascii="宋体" w:hAnsi="宋体" w:cs="宋体"/>
                <w:szCs w:val="21"/>
              </w:rPr>
              <w:t xml:space="preserve">6.配件：囊匣所用提扣、旋扣、信息卡、包角和胶条不含塑化剂。</w:t>
            </w:r>
            <w:r/>
          </w:p>
        </w:tc>
      </w:tr>
      <w:tr>
        <w:trPr>
          <w:trHeight w:val="1108"/>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卷抽式囊匣</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85</w:t>
            </w:r>
            <w:r/>
          </w:p>
        </w:tc>
        <w:tc>
          <w:tcPr>
            <w:tcW w:w="3130"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rHeight w:val="1502"/>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天地盖式囊匣</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w:t>
            </w:r>
            <w:r/>
          </w:p>
        </w:tc>
        <w:tc>
          <w:tcPr>
            <w:tcW w:w="3130"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rHeight w:val="1557"/>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函套式囊匣</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3130"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折页式囊匣</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3130"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三、文物保存环境调控</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恒温恒湿调控设备1</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1.冷量：≥25.6kW（回风温度：24℃，相对湿度：50%）；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2.风量：≥4500m³/h；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3.电加热功率：≥12kW；</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4.电极式加湿量：≥5kg/h；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5.设备不低于二级能效；</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w:t>
            </w:r>
            <w:r>
              <w:rPr>
                <w:rFonts w:ascii="宋体" w:hAnsi="宋体" w:cs="宋体"/>
                <w:szCs w:val="21"/>
              </w:rPr>
              <w:t xml:space="preserve">具备</w:t>
            </w:r>
            <w:r>
              <w:rPr>
                <w:rFonts w:hint="eastAsia" w:ascii="宋体" w:hAnsi="宋体" w:cs="宋体"/>
                <w:color w:val="000000"/>
                <w:szCs w:val="21"/>
                <w:lang w:bidi="ar"/>
              </w:rPr>
              <w:t xml:space="preserve">485接口并开放通讯协议；</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ascii="宋体" w:hAnsi="宋体" w:cs="宋体"/>
                <w:szCs w:val="21"/>
              </w:rPr>
              <w:t xml:space="preserve">采用</w:t>
            </w:r>
            <w:r>
              <w:rPr>
                <w:rFonts w:hint="eastAsia" w:ascii="宋体" w:hAnsi="宋体" w:cs="宋体"/>
                <w:color w:val="000000"/>
                <w:szCs w:val="21"/>
                <w:lang w:bidi="ar"/>
              </w:rPr>
              <w:t xml:space="preserve">PLC可编程控制+</w:t>
            </w:r>
            <w:r>
              <w:rPr>
                <w:rFonts w:ascii="宋体" w:hAnsi="宋体" w:cs="宋体"/>
                <w:szCs w:val="21"/>
              </w:rPr>
              <w:t xml:space="preserve">≥</w:t>
            </w:r>
            <w:r>
              <w:rPr>
                <w:rFonts w:hint="eastAsia" w:ascii="宋体" w:hAnsi="宋体" w:cs="宋体"/>
                <w:color w:val="000000"/>
                <w:szCs w:val="21"/>
                <w:lang w:bidi="ar"/>
              </w:rPr>
              <w:t xml:space="preserve">7寸触摸屏。</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恒温恒湿调控设备2</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1.冷量：≥39.5kW（回风温度：24℃，相对湿度：50%）；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2.风量：≥8000m³/h；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3.电加热功率：≥25kW；</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4.机外静压：≥300Pa；</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5.电极式加湿量：≥8kg/h；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6.设备不低于二级能效；</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szCs w:val="21"/>
              </w:rPr>
              <w:t xml:space="preserve">具备</w:t>
            </w:r>
            <w:r>
              <w:rPr>
                <w:rFonts w:hint="eastAsia" w:ascii="宋体" w:hAnsi="宋体" w:cs="宋体"/>
                <w:color w:val="000000"/>
                <w:szCs w:val="21"/>
                <w:lang w:bidi="ar"/>
              </w:rPr>
              <w:t xml:space="preserve">485接口并开放通讯协议。</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新风机组</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1.新风量：≥600m³/h；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2.余压：≥25Pa；</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3.接口尺寸：φ≥194mm；</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4.净化级别：初效G3+PM2.5过滤。</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水处理器</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1.适用水源：市政自来水；</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2.额定水处理量：≥1000L；</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3.具备全自动智能除垢功能。</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漏水检测报警装置</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1.采用安全电压供电；</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2.报警响应时间小于1秒；</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3.含配套电磁阀及漏水报警控制器。</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远程自动控制系统软件</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1.可远程实现环境调控系统远程启停控制；</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2.环境调控系统目标值远程程序设定；</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3.环境调控系统定时开关机管理；</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4.环境调控系统远程、就地控制选择功能；</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5.全功能运行状态参数及报警信息显示；</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6.加热装置温度过热、过流保护及报警等操作功能。</w:t>
            </w:r>
            <w:r/>
          </w:p>
          <w:p>
            <w:pPr>
              <w:jc w:val="left"/>
              <w:spacing w:line="360" w:lineRule="exact"/>
              <w:widowControl/>
              <w:rPr>
                <w:rFonts w:cs="宋体"/>
                <w:color w:val="000000"/>
                <w:szCs w:val="21"/>
                <w:lang w:bidi="ar"/>
              </w:rPr>
            </w:pPr>
            <w:r>
              <w:rPr>
                <w:rFonts w:hint="eastAsia" w:ascii="宋体" w:hAnsi="宋体" w:cs="宋体"/>
                <w:color w:val="000000"/>
                <w:szCs w:val="21"/>
                <w:lang w:bidi="ar"/>
              </w:rPr>
              <w:t xml:space="preserve">7.带有文物保存无线环境监测终端1套，包括无线二氧化碳监测终端、无线大气有机挥发物总量监测终端和无线甲醛监测终端各1台。</w:t>
            </w:r>
            <w:r>
              <w:rPr>
                <w:rFonts w:hint="eastAsia" w:cs="宋体"/>
                <w:color w:val="000000"/>
                <w:szCs w:val="21"/>
                <w:lang w:bidi="ar"/>
              </w:rPr>
              <w:t xml:space="preserve">具体要求如下：</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（1）无线二氧化碳监测终端：</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1）温度测量范围：-5～50℃；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2）温度测量分辨率：0.1℃；</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3）温度测量测量精度：±0.3℃；</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4）湿度测量范围：10～90%RH；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5）湿度测量分辨率：0.1%RH；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6）湿度测量精度：±2%RH；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7）二氧化碳测量范围：0～5000ppm；</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8）二氧化碳测量精度：±（60ppm±3%示值）；</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9）能耗：具有电源管理功能，电池一次充电后连续采样（频率30分钟）工作时长1年以上；</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10）通信方式：具备双向无线通讯功能，自组网；</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（▲）11）安全性能：为确保文物安全，采用安全设计，具有防爆性能。（投标文件中提供防爆检测机构出具的防爆合格证明原件的扫描件。）</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（2）无线大气有机挥发物总量监测终端：</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1）温度测量范围：-5～50℃；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2）温度测量分辨率：0.1℃；</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3）温度测量测量精度：±0.3℃；</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4）湿度测量范围：10～90%RH；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5）湿度测量分辨率：0.1%RH；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6）湿度测量精度：±2%RH；</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7）光照度测量范围：0.1～2000lux；</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8）光照度测量精度：±4%示值；</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9）VOC测量范围：0～10ppm(异丁烯)；</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10）VOC测量精度：±(0.1ppm+8%*示值)；</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11）能耗：具有电源管理功能，电池一次充电后连续采样（频率30分钟）工作时长1年以上；</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12）通信方式：具备双向无线通讯功能，自组网；</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（▲）13）安全性能：为确保文物安全，采用安全设计，具有防爆性能。（投标文件中提供防爆检测机构出具的防爆合格证明原件的扫描件。）</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（3）无线甲醛监测终端：</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1）温度测量范围：-5～50℃；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2）温度测量分辨率：0.1℃；</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3）温度测量测量精度：±0.3℃；</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4）湿度测量范围：10～90%RH；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5）湿度测量分辨率：0.1%RH；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6）湿度测量精度：±2%RH；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7）甲醛测量范围：0～10ppm；</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8）甲醛测量精度：0.02ppm±4%示值；</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9）能耗：具有电源管理功能，电池一次充电后连续采样（频率30分钟）工作时长1年以上；</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10）通信方式：具备双向无线通讯功能，自组网；</w:t>
            </w:r>
            <w:r/>
          </w:p>
          <w:p>
            <w:pPr>
              <w:jc w:val="left"/>
              <w:spacing w:line="360" w:lineRule="exact"/>
              <w:widowControl/>
            </w:pPr>
            <w:r>
              <w:rPr>
                <w:rFonts w:hint="eastAsia" w:ascii="宋体" w:hAnsi="宋体" w:cs="宋体"/>
                <w:color w:val="000000"/>
                <w:szCs w:val="21"/>
                <w:lang w:bidi="ar"/>
              </w:rPr>
              <w:t xml:space="preserve">（▲）11）安全性能：为确保文物安全，采用安全设计，具有防爆性能。（投标文件中提供防爆检测机构出具的防爆合格证明原件的扫描件。）</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配套通风管路(恒温恒湿系统）</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国标0.6～1.2mm厚镀锌板材料制作风管，δ20mm厚B1级阻燃型橡塑保温材料（黑色）；通风管路、保温材料、送回风风口、防火阀、静压箱、调节阀等，按照现场实际需求提供；新风摄入量≤10%；风管管径根据现场情况可适当调整。</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主供电线缆</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米</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300</w:t>
            </w:r>
            <w:r/>
          </w:p>
        </w:tc>
        <w:tc>
          <w:tcPr>
            <w:tcW w:w="3130"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国标阻燃型线缆；（暂估量）(配电箱至设备）</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成套配电箱</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钢制≥850*550*450mm；含配套低压电气元件。</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制冷系统配套材料</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环保制冷剂、内外机连接铜管、管件、保温管材及连接线缆等，按照现场实际需求提供。</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给排水系统</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ff"/>
                <w:szCs w:val="21"/>
              </w:rPr>
            </w:pPr>
            <w:r>
              <w:rPr>
                <w:rFonts w:hint="eastAsia" w:ascii="宋体" w:hAnsi="宋体" w:cs="宋体"/>
                <w:color w:val="000000"/>
                <w:szCs w:val="21"/>
                <w:lang w:bidi="ar"/>
              </w:rPr>
              <w:t xml:space="preserve">给水：国标PPR管材,热熔焊接，DN20/25；排水：UPVC管材,D32/40，含保温管材及配套阀门；按照现场实际需求提供。</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安装辅材</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批</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widowControl/>
              <w:rPr>
                <w:rFonts w:hint="eastAsia" w:ascii="宋体" w:hAnsi="宋体" w:cs="宋体"/>
                <w:color w:val="0000ff"/>
                <w:szCs w:val="21"/>
                <w:lang w:bidi="ar"/>
              </w:rPr>
            </w:pPr>
            <w:r>
              <w:rPr>
                <w:rFonts w:hint="eastAsia" w:ascii="宋体" w:hAnsi="宋体" w:cs="宋体"/>
                <w:color w:val="000000"/>
                <w:szCs w:val="21"/>
                <w:lang w:bidi="ar"/>
              </w:rPr>
              <w:t xml:space="preserve">阀门、管件、焊条、弯头、回油弯头、氧气乙炔、油漆、切割片、标准件、吊丝及配套、密封条、减震垫等辅材；项目实施需对基本库1、基本库2、基本库3的顶面进行复原，基本库2、基本库3地面铺设PVC地胶。</w:t>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四、库房无线环境监测</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无线温湿度监测终端</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1.温度测量：</w:t>
            </w:r>
            <w:r/>
          </w:p>
          <w:p>
            <w:pPr>
              <w:jc w:val="left"/>
              <w:spacing w:line="360" w:lineRule="exact"/>
              <w:rPr>
                <w:rFonts w:hint="eastAsia" w:ascii="宋体" w:hAnsi="宋体" w:cs="宋体"/>
                <w:szCs w:val="21"/>
              </w:rPr>
            </w:pPr>
            <w:r>
              <w:rPr>
                <w:rFonts w:hint="eastAsia" w:ascii="宋体" w:hAnsi="宋体" w:cs="宋体"/>
                <w:szCs w:val="21"/>
              </w:rPr>
              <w:t xml:space="preserve">（1）测量范围：-5～50℃；</w:t>
            </w:r>
            <w:r/>
          </w:p>
          <w:p>
            <w:pPr>
              <w:jc w:val="left"/>
              <w:spacing w:line="360" w:lineRule="exact"/>
              <w:rPr>
                <w:rFonts w:hint="eastAsia" w:ascii="宋体" w:hAnsi="宋体" w:cs="宋体"/>
                <w:szCs w:val="21"/>
              </w:rPr>
            </w:pPr>
            <w:r>
              <w:rPr>
                <w:rFonts w:hint="eastAsia" w:ascii="宋体" w:hAnsi="宋体" w:cs="宋体"/>
                <w:szCs w:val="21"/>
              </w:rPr>
              <w:t xml:space="preserve">（2）分辨率：0.1℃；</w:t>
            </w:r>
            <w:r/>
          </w:p>
          <w:p>
            <w:pPr>
              <w:jc w:val="left"/>
              <w:spacing w:line="360" w:lineRule="exact"/>
              <w:rPr>
                <w:rFonts w:hint="eastAsia" w:ascii="宋体" w:hAnsi="宋体" w:cs="宋体"/>
                <w:szCs w:val="21"/>
              </w:rPr>
            </w:pPr>
            <w:r>
              <w:rPr>
                <w:rFonts w:hint="eastAsia" w:ascii="宋体" w:hAnsi="宋体" w:cs="宋体"/>
                <w:szCs w:val="21"/>
              </w:rPr>
              <w:t xml:space="preserve">（3）测量精度：±0.3℃；</w:t>
            </w:r>
            <w:r/>
          </w:p>
          <w:p>
            <w:pPr>
              <w:jc w:val="left"/>
              <w:spacing w:line="360" w:lineRule="exact"/>
              <w:rPr>
                <w:rFonts w:hint="eastAsia" w:ascii="宋体" w:hAnsi="宋体" w:cs="宋体"/>
                <w:szCs w:val="21"/>
              </w:rPr>
            </w:pPr>
            <w:r>
              <w:rPr>
                <w:rFonts w:hint="eastAsia" w:ascii="宋体" w:hAnsi="宋体" w:cs="宋体"/>
                <w:szCs w:val="21"/>
              </w:rPr>
              <w:t xml:space="preserve">2.湿度测量：</w:t>
            </w:r>
            <w:r/>
          </w:p>
          <w:p>
            <w:pPr>
              <w:jc w:val="left"/>
              <w:spacing w:line="360" w:lineRule="exact"/>
              <w:rPr>
                <w:rFonts w:hint="eastAsia" w:ascii="宋体" w:hAnsi="宋体" w:cs="宋体"/>
                <w:szCs w:val="21"/>
              </w:rPr>
            </w:pPr>
            <w:r>
              <w:rPr>
                <w:rFonts w:hint="eastAsia" w:ascii="宋体" w:hAnsi="宋体" w:cs="宋体"/>
                <w:szCs w:val="21"/>
              </w:rPr>
              <w:t xml:space="preserve">（1）测量范围：10～90%RH；</w:t>
            </w:r>
            <w:r/>
          </w:p>
          <w:p>
            <w:pPr>
              <w:jc w:val="left"/>
              <w:spacing w:line="360" w:lineRule="exact"/>
              <w:rPr>
                <w:rFonts w:hint="eastAsia" w:ascii="宋体" w:hAnsi="宋体" w:cs="宋体"/>
                <w:szCs w:val="21"/>
              </w:rPr>
            </w:pPr>
            <w:r>
              <w:rPr>
                <w:rFonts w:hint="eastAsia" w:ascii="宋体" w:hAnsi="宋体" w:cs="宋体"/>
                <w:szCs w:val="21"/>
              </w:rPr>
              <w:t xml:space="preserve">（2）分辨率：0.1%RH；</w:t>
            </w:r>
            <w:r/>
          </w:p>
          <w:p>
            <w:pPr>
              <w:jc w:val="left"/>
              <w:spacing w:line="360" w:lineRule="exact"/>
              <w:rPr>
                <w:rFonts w:hint="eastAsia" w:ascii="宋体" w:hAnsi="宋体" w:cs="宋体"/>
                <w:szCs w:val="21"/>
              </w:rPr>
            </w:pPr>
            <w:r>
              <w:rPr>
                <w:rFonts w:hint="eastAsia" w:ascii="宋体" w:hAnsi="宋体" w:cs="宋体"/>
                <w:szCs w:val="21"/>
              </w:rPr>
              <w:t xml:space="preserve">（3）测量精度：±2%RH；</w:t>
            </w:r>
            <w:r/>
          </w:p>
          <w:p>
            <w:pPr>
              <w:jc w:val="left"/>
              <w:spacing w:line="360" w:lineRule="exact"/>
              <w:rPr>
                <w:rFonts w:hint="eastAsia" w:ascii="宋体" w:hAnsi="宋体" w:cs="宋体"/>
                <w:szCs w:val="21"/>
              </w:rPr>
            </w:pPr>
            <w:r>
              <w:rPr>
                <w:rFonts w:hint="eastAsia" w:ascii="宋体" w:hAnsi="宋体" w:cs="宋体"/>
                <w:szCs w:val="21"/>
              </w:rPr>
              <w:t xml:space="preserve">3.能耗：具有电源管理功能，电池一次充电后连续采样（频率30分钟）工作时长1年以上；</w:t>
            </w:r>
            <w:r/>
          </w:p>
          <w:p>
            <w:pPr>
              <w:jc w:val="left"/>
              <w:spacing w:line="360" w:lineRule="exact"/>
              <w:rPr>
                <w:rFonts w:hint="eastAsia" w:ascii="宋体" w:hAnsi="宋体" w:cs="宋体"/>
                <w:szCs w:val="21"/>
              </w:rPr>
            </w:pPr>
            <w:r>
              <w:rPr>
                <w:rFonts w:hint="eastAsia" w:ascii="宋体" w:hAnsi="宋体" w:cs="宋体"/>
                <w:szCs w:val="21"/>
              </w:rPr>
              <w:t xml:space="preserve">4.通信方式：具备双向无线通讯功能，自组网；</w:t>
            </w:r>
            <w:r/>
          </w:p>
          <w:p>
            <w:pPr>
              <w:jc w:val="left"/>
              <w:spacing w:line="360" w:lineRule="exact"/>
              <w:rPr>
                <w:rFonts w:hint="eastAsia" w:ascii="宋体" w:hAnsi="宋体" w:cs="宋体"/>
                <w:szCs w:val="21"/>
              </w:rPr>
            </w:pPr>
            <w:r>
              <w:rPr>
                <w:rFonts w:hint="eastAsia" w:ascii="宋体" w:hAnsi="宋体" w:cs="宋体"/>
                <w:color w:val="000000"/>
                <w:szCs w:val="21"/>
                <w:lang w:bidi="ar"/>
              </w:rPr>
              <w:t xml:space="preserve">（▲）</w:t>
            </w:r>
            <w:r>
              <w:rPr>
                <w:rFonts w:hint="eastAsia" w:ascii="宋体" w:hAnsi="宋体" w:cs="宋体"/>
                <w:szCs w:val="21"/>
              </w:rPr>
              <w:t xml:space="preserve">5.安全性能：为确保文物安全，采用安全设计，具有防爆性能。（投标文件中提供防爆检测机构出具的防爆合格证明原件的扫描件。）</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无线光照、紫外监测终端</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1.温度测量：</w:t>
            </w:r>
            <w:r/>
          </w:p>
          <w:p>
            <w:pPr>
              <w:jc w:val="left"/>
              <w:spacing w:line="360" w:lineRule="exact"/>
              <w:rPr>
                <w:rFonts w:hint="eastAsia" w:ascii="宋体" w:hAnsi="宋体" w:cs="宋体"/>
                <w:szCs w:val="21"/>
              </w:rPr>
            </w:pPr>
            <w:r>
              <w:rPr>
                <w:rFonts w:hint="eastAsia" w:ascii="宋体" w:hAnsi="宋体" w:cs="宋体"/>
                <w:szCs w:val="21"/>
              </w:rPr>
              <w:t xml:space="preserve">（1）温度测量范围：-5～50℃；</w:t>
            </w:r>
            <w:r/>
          </w:p>
          <w:p>
            <w:pPr>
              <w:jc w:val="left"/>
              <w:spacing w:line="360" w:lineRule="exact"/>
              <w:rPr>
                <w:rFonts w:hint="eastAsia" w:ascii="宋体" w:hAnsi="宋体" w:cs="宋体"/>
                <w:szCs w:val="21"/>
              </w:rPr>
            </w:pPr>
            <w:r>
              <w:rPr>
                <w:rFonts w:hint="eastAsia" w:ascii="宋体" w:hAnsi="宋体" w:cs="宋体"/>
                <w:szCs w:val="21"/>
              </w:rPr>
              <w:t xml:space="preserve">（2）温度测量分辨率：0.1℃；</w:t>
            </w:r>
            <w:r/>
          </w:p>
          <w:p>
            <w:pPr>
              <w:jc w:val="left"/>
              <w:spacing w:line="360" w:lineRule="exact"/>
              <w:rPr>
                <w:rFonts w:hint="eastAsia" w:ascii="宋体" w:hAnsi="宋体" w:cs="宋体"/>
                <w:szCs w:val="21"/>
              </w:rPr>
            </w:pPr>
            <w:r>
              <w:rPr>
                <w:rFonts w:hint="eastAsia" w:ascii="宋体" w:hAnsi="宋体" w:cs="宋体"/>
                <w:szCs w:val="21"/>
              </w:rPr>
              <w:t xml:space="preserve">（3）温度测量精度：±0.3℃；</w:t>
            </w:r>
            <w:r/>
          </w:p>
          <w:p>
            <w:pPr>
              <w:jc w:val="left"/>
              <w:spacing w:line="360" w:lineRule="exact"/>
              <w:rPr>
                <w:rFonts w:hint="eastAsia" w:ascii="宋体" w:hAnsi="宋体" w:cs="宋体"/>
                <w:szCs w:val="21"/>
              </w:rPr>
            </w:pPr>
            <w:r>
              <w:rPr>
                <w:rFonts w:hint="eastAsia" w:ascii="宋体" w:hAnsi="宋体" w:cs="宋体"/>
                <w:szCs w:val="21"/>
              </w:rPr>
              <w:t xml:space="preserve">2.湿度测量：</w:t>
            </w:r>
            <w:r/>
          </w:p>
          <w:p>
            <w:pPr>
              <w:jc w:val="left"/>
              <w:spacing w:line="360" w:lineRule="exact"/>
              <w:rPr>
                <w:rFonts w:hint="eastAsia" w:ascii="宋体" w:hAnsi="宋体" w:cs="宋体"/>
                <w:szCs w:val="21"/>
              </w:rPr>
            </w:pPr>
            <w:r>
              <w:rPr>
                <w:rFonts w:hint="eastAsia" w:ascii="宋体" w:hAnsi="宋体" w:cs="宋体"/>
                <w:szCs w:val="21"/>
              </w:rPr>
              <w:t xml:space="preserve">（1）湿度测量范围：10～90%RH；</w:t>
            </w:r>
            <w:r/>
          </w:p>
          <w:p>
            <w:pPr>
              <w:jc w:val="left"/>
              <w:spacing w:line="360" w:lineRule="exact"/>
              <w:rPr>
                <w:rFonts w:hint="eastAsia" w:ascii="宋体" w:hAnsi="宋体" w:cs="宋体"/>
                <w:szCs w:val="21"/>
              </w:rPr>
            </w:pPr>
            <w:r>
              <w:rPr>
                <w:rFonts w:hint="eastAsia" w:ascii="宋体" w:hAnsi="宋体" w:cs="宋体"/>
                <w:szCs w:val="21"/>
              </w:rPr>
              <w:t xml:space="preserve">（2）湿度测量分辨率：0.1%RH；</w:t>
            </w:r>
            <w:r/>
          </w:p>
          <w:p>
            <w:pPr>
              <w:jc w:val="left"/>
              <w:spacing w:line="360" w:lineRule="exact"/>
              <w:rPr>
                <w:rFonts w:hint="eastAsia" w:ascii="宋体" w:hAnsi="宋体" w:cs="宋体"/>
                <w:szCs w:val="21"/>
              </w:rPr>
            </w:pPr>
            <w:r>
              <w:rPr>
                <w:rFonts w:hint="eastAsia" w:ascii="宋体" w:hAnsi="宋体" w:cs="宋体"/>
                <w:szCs w:val="21"/>
              </w:rPr>
              <w:t xml:space="preserve">（3）湿度测量精度：±2%RH；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3.光照度测量：</w:t>
            </w:r>
            <w:r/>
          </w:p>
          <w:p>
            <w:pPr>
              <w:pStyle w:val="953"/>
              <w:spacing w:line="36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color w:val="000000"/>
                <w:sz w:val="21"/>
                <w:szCs w:val="21"/>
                <w:lang w:bidi="ar"/>
              </w:rPr>
              <w:t xml:space="preserve">光照度测量</w:t>
            </w:r>
            <w:r>
              <w:rPr>
                <w:rFonts w:hint="eastAsia" w:ascii="宋体" w:hAnsi="宋体" w:cs="宋体"/>
                <w:sz w:val="21"/>
                <w:szCs w:val="21"/>
              </w:rPr>
              <w:t xml:space="preserve">范围：0.1～2000lux；</w:t>
            </w:r>
            <w:r/>
          </w:p>
          <w:p>
            <w:pPr>
              <w:pStyle w:val="953"/>
              <w:spacing w:line="36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color w:val="000000"/>
                <w:sz w:val="21"/>
                <w:szCs w:val="21"/>
                <w:lang w:bidi="ar"/>
              </w:rPr>
              <w:t xml:space="preserve">光照度测量</w:t>
            </w:r>
            <w:r>
              <w:rPr>
                <w:rFonts w:hint="eastAsia" w:ascii="宋体" w:hAnsi="宋体" w:cs="宋体"/>
                <w:sz w:val="21"/>
                <w:szCs w:val="21"/>
              </w:rPr>
              <w:t xml:space="preserve">精度：±4%示值；</w:t>
            </w:r>
            <w:r/>
          </w:p>
          <w:p>
            <w:pPr>
              <w:pStyle w:val="953"/>
              <w:spacing w:line="360" w:lineRule="exact"/>
              <w:rPr>
                <w:rFonts w:hint="eastAsia" w:ascii="宋体" w:hAnsi="宋体" w:cs="宋体"/>
                <w:sz w:val="21"/>
                <w:szCs w:val="21"/>
              </w:rPr>
            </w:pPr>
            <w:r>
              <w:rPr>
                <w:rFonts w:hint="eastAsia" w:ascii="宋体" w:hAnsi="宋体" w:cs="宋体"/>
                <w:sz w:val="21"/>
                <w:szCs w:val="21"/>
              </w:rPr>
              <w:t xml:space="preserve">4.紫外线测量：</w:t>
            </w:r>
            <w:r/>
          </w:p>
          <w:p>
            <w:pPr>
              <w:pStyle w:val="953"/>
              <w:spacing w:line="360" w:lineRule="exact"/>
              <w:rPr>
                <w:rFonts w:hint="eastAsia" w:ascii="宋体" w:hAnsi="宋体" w:cs="宋体"/>
                <w:sz w:val="21"/>
                <w:szCs w:val="21"/>
              </w:rPr>
            </w:pPr>
            <w:r>
              <w:rPr>
                <w:rFonts w:hint="eastAsia" w:ascii="宋体" w:hAnsi="宋体" w:cs="宋体"/>
                <w:sz w:val="21"/>
                <w:szCs w:val="21"/>
              </w:rPr>
              <w:t xml:space="preserve">（1）紫外线测量范围：0.02～230μW/cm</w:t>
            </w:r>
            <w:r>
              <w:rPr>
                <w:rFonts w:hint="eastAsia" w:ascii="宋体" w:hAnsi="宋体" w:cs="宋体"/>
                <w:sz w:val="21"/>
                <w:szCs w:val="21"/>
                <w:vertAlign w:val="superscript"/>
              </w:rPr>
              <w:t xml:space="preserve">2</w:t>
            </w:r>
            <w:r>
              <w:rPr>
                <w:rFonts w:hint="eastAsia" w:ascii="宋体" w:hAnsi="宋体" w:cs="宋体"/>
                <w:sz w:val="21"/>
                <w:szCs w:val="21"/>
              </w:rPr>
              <w:t xml:space="preserve">(波长365nm±3nm)；</w:t>
            </w:r>
            <w:r/>
          </w:p>
          <w:p>
            <w:pPr>
              <w:pStyle w:val="953"/>
              <w:spacing w:line="360" w:lineRule="exact"/>
              <w:rPr>
                <w:rFonts w:hint="eastAsia" w:ascii="宋体" w:hAnsi="宋体" w:cs="宋体"/>
                <w:sz w:val="21"/>
                <w:szCs w:val="21"/>
              </w:rPr>
            </w:pPr>
            <w:r>
              <w:rPr>
                <w:rFonts w:hint="eastAsia" w:ascii="宋体" w:hAnsi="宋体" w:cs="宋体"/>
                <w:sz w:val="21"/>
                <w:szCs w:val="21"/>
              </w:rPr>
              <w:t xml:space="preserve">（2）紫外线测量精度：±8%；</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5.能耗：具有电源管理功能，电池一次充电后连续采样（频率30分钟）工作时长要求1年以上。</w:t>
            </w:r>
            <w:r/>
          </w:p>
          <w:p>
            <w:pPr>
              <w:jc w:val="left"/>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6.通信方式：具备无线通讯功能，自组网；</w:t>
            </w:r>
            <w:r/>
          </w:p>
          <w:p>
            <w:pPr>
              <w:jc w:val="left"/>
              <w:spacing w:line="360" w:lineRule="exact"/>
              <w:rPr>
                <w:rFonts w:hint="eastAsia" w:ascii="宋体" w:hAnsi="宋体" w:cs="宋体"/>
                <w:szCs w:val="21"/>
              </w:rPr>
            </w:pPr>
            <w:r>
              <w:rPr>
                <w:rFonts w:hint="eastAsia" w:ascii="宋体" w:hAnsi="宋体" w:cs="宋体"/>
                <w:color w:val="000000"/>
                <w:szCs w:val="21"/>
                <w:lang w:bidi="ar"/>
              </w:rPr>
              <w:t xml:space="preserve">（▲）7.</w:t>
            </w:r>
            <w:r>
              <w:rPr>
                <w:rFonts w:hint="eastAsia" w:ascii="宋体" w:hAnsi="宋体" w:cs="宋体"/>
                <w:szCs w:val="21"/>
              </w:rPr>
              <w:t xml:space="preserve">安全性能：为确保文物安全，采用安全设计，具有防爆性能。（投标文件中提供防爆检测机构出具的防爆合格证明原件的扫描件。）</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中继</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只</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3130"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1.总体指标：</w:t>
            </w:r>
            <w:r>
              <w:rPr>
                <w:rFonts w:hint="eastAsia" w:ascii="宋体" w:hAnsi="宋体" w:cs="宋体"/>
                <w:szCs w:val="21"/>
              </w:rPr>
              <w:t xml:space="preserve">使用国家无委会免申请的频段</w:t>
            </w:r>
            <w:r>
              <w:rPr>
                <w:rFonts w:hint="eastAsia" w:ascii="宋体" w:hAnsi="宋体" w:cs="宋体"/>
                <w:color w:val="000000"/>
                <w:szCs w:val="21"/>
                <w:lang w:bidi="ar"/>
              </w:rPr>
              <w:t xml:space="preserve">；</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2.组网方式：</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（1）具有自组织网络的能力，能够自行搜索及加入网络；</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（2）具有周期性心跳包，周期性发送心跳包以表征工作状态；</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（3）具有链路质量侦测能力。在信号微弱或不稳定情况下，能够自行判别，并搜索和优选更优质的网络传输路径。</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3.数据传输：</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（1）具有数据校验的能力。在收到数据包时，能够根据数据包的信息验证数据的正确性；转发的数据包中携带校验信息，在数据包被父节点收到后，上位机能验证数据的正确性；</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（2）具有反馈能力，成功接收到数据包后，予以回复，表明成功接收状态；</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（3）具有数据重发机制，当数据发送失败后，具有回避及重发机制。如果数据发送多次不成功，能够优选父节点，并重新发送；</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（4）具有下行转发能力，自父节点接收下行包，并根据路由机制，转发至目标子节点；</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（5）上位机可以通过远程方式连接。</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4.发送功率≤22dBm。</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5.供电方式：具有灵活的供电方式，可选直流低压供电与交流市电供电。</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6.外壳材料：采用金属外壳。</w:t>
            </w:r>
            <w:r/>
          </w:p>
          <w:p>
            <w:pPr>
              <w:jc w:val="left"/>
              <w:spacing w:line="360" w:lineRule="exact"/>
              <w:rPr>
                <w:rFonts w:hint="eastAsia" w:ascii="宋体" w:hAnsi="宋体" w:cs="宋体"/>
                <w:szCs w:val="21"/>
              </w:rPr>
            </w:pPr>
            <w:r>
              <w:rPr>
                <w:rFonts w:hint="eastAsia" w:ascii="宋体" w:hAnsi="宋体" w:cs="宋体"/>
                <w:color w:val="000000"/>
                <w:szCs w:val="21"/>
                <w:lang w:bidi="ar"/>
              </w:rPr>
              <w:t xml:space="preserve">7.电路板保护：防潮、防霉。</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工作站</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1.CPU：≥12核心20线程，频率≥2.1GHz；</w:t>
            </w:r>
            <w:r/>
          </w:p>
          <w:p>
            <w:pPr>
              <w:jc w:val="left"/>
              <w:spacing w:line="360" w:lineRule="exact"/>
              <w:rPr>
                <w:rFonts w:hint="eastAsia" w:ascii="宋体" w:hAnsi="宋体" w:cs="宋体"/>
                <w:szCs w:val="21"/>
              </w:rPr>
            </w:pPr>
            <w:r>
              <w:rPr>
                <w:rFonts w:hint="eastAsia" w:ascii="宋体" w:hAnsi="宋体" w:cs="宋体"/>
                <w:szCs w:val="21"/>
              </w:rPr>
              <w:t xml:space="preserve">2.内存：≥16G；</w:t>
            </w:r>
            <w:r/>
          </w:p>
          <w:p>
            <w:pPr>
              <w:jc w:val="left"/>
              <w:spacing w:line="360" w:lineRule="exact"/>
              <w:rPr>
                <w:rFonts w:hint="eastAsia" w:ascii="宋体" w:hAnsi="宋体" w:cs="宋体"/>
                <w:szCs w:val="21"/>
              </w:rPr>
            </w:pPr>
            <w:r>
              <w:rPr>
                <w:rFonts w:hint="eastAsia" w:ascii="宋体" w:hAnsi="宋体" w:cs="宋体"/>
                <w:szCs w:val="21"/>
              </w:rPr>
              <w:t xml:space="preserve">3.显卡：≥8G；</w:t>
            </w:r>
            <w:r/>
          </w:p>
          <w:p>
            <w:pPr>
              <w:jc w:val="left"/>
              <w:spacing w:line="360" w:lineRule="exact"/>
              <w:rPr>
                <w:rFonts w:hint="eastAsia" w:ascii="宋体" w:hAnsi="宋体" w:cs="宋体"/>
                <w:szCs w:val="21"/>
              </w:rPr>
            </w:pPr>
            <w:r>
              <w:rPr>
                <w:rFonts w:hint="eastAsia" w:ascii="宋体" w:hAnsi="宋体" w:cs="宋体"/>
                <w:szCs w:val="21"/>
              </w:rPr>
              <w:t xml:space="preserve">4.固态：≥512G；</w:t>
            </w:r>
            <w:r/>
          </w:p>
          <w:p>
            <w:pPr>
              <w:jc w:val="left"/>
              <w:spacing w:line="360" w:lineRule="exact"/>
              <w:rPr>
                <w:rFonts w:hint="eastAsia" w:ascii="宋体" w:hAnsi="宋体" w:cs="宋体"/>
                <w:szCs w:val="21"/>
              </w:rPr>
            </w:pPr>
            <w:r>
              <w:rPr>
                <w:rFonts w:hint="eastAsia" w:ascii="宋体" w:hAnsi="宋体" w:cs="宋体"/>
                <w:szCs w:val="21"/>
              </w:rPr>
              <w:t xml:space="preserve">5.机械硬盘：≥1T；</w:t>
            </w:r>
            <w:r/>
          </w:p>
          <w:p>
            <w:pPr>
              <w:jc w:val="left"/>
              <w:spacing w:line="360" w:lineRule="exact"/>
              <w:rPr>
                <w:rFonts w:hint="eastAsia" w:ascii="宋体" w:hAnsi="宋体" w:cs="宋体"/>
                <w:szCs w:val="21"/>
              </w:rPr>
            </w:pPr>
            <w:r>
              <w:rPr>
                <w:rFonts w:hint="eastAsia" w:ascii="宋体" w:hAnsi="宋体" w:cs="宋体"/>
                <w:szCs w:val="21"/>
              </w:rPr>
              <w:t xml:space="preserve">6.配备一套键鼠；</w:t>
            </w:r>
            <w:r/>
          </w:p>
          <w:p>
            <w:pPr>
              <w:jc w:val="left"/>
              <w:spacing w:line="360" w:lineRule="exact"/>
              <w:rPr>
                <w:rFonts w:hint="eastAsia" w:ascii="宋体" w:hAnsi="宋体" w:cs="宋体"/>
                <w:szCs w:val="21"/>
              </w:rPr>
            </w:pPr>
            <w:r>
              <w:rPr>
                <w:rFonts w:hint="eastAsia" w:ascii="宋体" w:hAnsi="宋体" w:cs="宋体"/>
                <w:szCs w:val="21"/>
              </w:rPr>
              <w:t xml:space="preserve">7.配备一台≥27寸的显示设备。</w:t>
            </w:r>
            <w:r/>
          </w:p>
        </w:tc>
      </w:tr>
      <w:tr>
        <w:trPr/>
        <w:tc>
          <w:tcPr>
            <w:tcW w:w="330"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78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无线监测与调控系统软件</w:t>
            </w:r>
            <w:r/>
          </w:p>
        </w:tc>
        <w:tc>
          <w:tcPr>
            <w:tcW w:w="376"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可设置监测点的数据接收检查周期、监测点自定义名称。数据接收检查周期用于避免监测网络受到干扰时产生无效数据，保证监测数据的连续性和有效性。监测点自定义名称用于以曲线图方式显示监测点数据时辨识监测点位置属性；</w:t>
            </w:r>
            <w:r/>
          </w:p>
          <w:p>
            <w:pPr>
              <w:jc w:val="left"/>
              <w:spacing w:line="360" w:lineRule="exact"/>
              <w:rPr>
                <w:rFonts w:hint="eastAsia" w:ascii="宋体" w:hAnsi="宋体" w:cs="宋体"/>
                <w:szCs w:val="21"/>
              </w:rPr>
            </w:pPr>
            <w:r>
              <w:rPr>
                <w:rFonts w:hint="eastAsia" w:ascii="宋体" w:hAnsi="宋体" w:cs="宋体"/>
                <w:szCs w:val="21"/>
              </w:rPr>
              <w:t xml:space="preserve">2.支持通过LAN局域网动态搜索与配置中继；</w:t>
            </w:r>
            <w:r/>
          </w:p>
          <w:p>
            <w:pPr>
              <w:jc w:val="left"/>
              <w:spacing w:line="360" w:lineRule="exact"/>
              <w:rPr>
                <w:rFonts w:hint="eastAsia" w:ascii="宋体" w:hAnsi="宋体" w:cs="宋体"/>
                <w:szCs w:val="21"/>
              </w:rPr>
            </w:pPr>
            <w:r>
              <w:rPr>
                <w:rFonts w:hint="eastAsia" w:ascii="宋体" w:hAnsi="宋体" w:cs="宋体"/>
                <w:szCs w:val="21"/>
              </w:rPr>
              <w:t xml:space="preserve">3.支持通过LAN局域网主动定位与排除中继故障；</w:t>
            </w:r>
            <w:r/>
          </w:p>
          <w:p>
            <w:pPr>
              <w:jc w:val="left"/>
              <w:spacing w:line="360" w:lineRule="exact"/>
              <w:rPr>
                <w:rFonts w:hint="eastAsia" w:ascii="宋体" w:hAnsi="宋体" w:cs="宋体"/>
                <w:szCs w:val="21"/>
              </w:rPr>
            </w:pPr>
            <w:r>
              <w:rPr>
                <w:rFonts w:hint="eastAsia" w:ascii="宋体" w:hAnsi="宋体" w:cs="宋体"/>
                <w:szCs w:val="21"/>
              </w:rPr>
              <w:t xml:space="preserve">4.人机友好界面，操作简单方便；</w:t>
            </w:r>
            <w:r/>
          </w:p>
          <w:p>
            <w:pPr>
              <w:jc w:val="left"/>
              <w:spacing w:line="360" w:lineRule="exact"/>
              <w:rPr>
                <w:rFonts w:hint="eastAsia" w:ascii="宋体" w:hAnsi="宋体" w:cs="宋体"/>
                <w:szCs w:val="21"/>
              </w:rPr>
            </w:pPr>
            <w:r>
              <w:rPr>
                <w:rFonts w:hint="eastAsia" w:ascii="宋体" w:hAnsi="宋体" w:cs="宋体"/>
                <w:szCs w:val="21"/>
              </w:rPr>
              <w:t xml:space="preserve">5.支持实时预警各监测点环境超标信息；</w:t>
            </w:r>
            <w:r/>
          </w:p>
          <w:p>
            <w:pPr>
              <w:jc w:val="left"/>
              <w:spacing w:line="360" w:lineRule="exact"/>
              <w:rPr>
                <w:rFonts w:hint="eastAsia" w:ascii="宋体" w:hAnsi="宋体" w:cs="宋体"/>
                <w:szCs w:val="21"/>
              </w:rPr>
            </w:pPr>
            <w:r>
              <w:rPr>
                <w:rFonts w:hint="eastAsia" w:ascii="宋体" w:hAnsi="宋体" w:cs="宋体"/>
                <w:szCs w:val="21"/>
              </w:rPr>
              <w:t xml:space="preserve">6.支持报警信息分区域发往相关管理员；</w:t>
            </w:r>
            <w:r/>
          </w:p>
          <w:p>
            <w:pPr>
              <w:jc w:val="left"/>
              <w:spacing w:line="360" w:lineRule="exact"/>
              <w:rPr>
                <w:rFonts w:hint="eastAsia" w:ascii="宋体" w:hAnsi="宋体" w:cs="宋体"/>
                <w:szCs w:val="21"/>
              </w:rPr>
            </w:pPr>
            <w:r>
              <w:rPr>
                <w:rFonts w:hint="eastAsia" w:ascii="宋体" w:hAnsi="宋体" w:cs="宋体"/>
                <w:szCs w:val="21"/>
              </w:rPr>
              <w:t xml:space="preserve">7.支持报警信息记录查询与分析；</w:t>
            </w:r>
            <w:r/>
          </w:p>
          <w:p>
            <w:pPr>
              <w:jc w:val="left"/>
              <w:spacing w:line="360" w:lineRule="exact"/>
              <w:rPr>
                <w:rFonts w:hint="eastAsia" w:ascii="宋体" w:hAnsi="宋体" w:cs="宋体"/>
                <w:szCs w:val="21"/>
              </w:rPr>
            </w:pPr>
            <w:r>
              <w:rPr>
                <w:rFonts w:hint="eastAsia" w:ascii="宋体" w:hAnsi="宋体" w:cs="宋体"/>
                <w:szCs w:val="21"/>
              </w:rPr>
              <w:t xml:space="preserve">8.支持通过LAN局域网发送报警信息到远程网络声光报警器；</w:t>
            </w:r>
            <w:r/>
          </w:p>
          <w:p>
            <w:pPr>
              <w:jc w:val="left"/>
              <w:spacing w:line="360" w:lineRule="exact"/>
              <w:rPr>
                <w:rFonts w:hint="eastAsia" w:ascii="宋体" w:hAnsi="宋体" w:cs="宋体"/>
                <w:szCs w:val="21"/>
              </w:rPr>
            </w:pPr>
            <w:r>
              <w:rPr>
                <w:rFonts w:hint="eastAsia" w:ascii="宋体" w:hAnsi="宋体" w:cs="宋体"/>
                <w:szCs w:val="21"/>
              </w:rPr>
              <w:t xml:space="preserve">9.对数据库的访问效率提供优化；</w:t>
            </w:r>
            <w:r/>
          </w:p>
          <w:p>
            <w:pPr>
              <w:jc w:val="left"/>
              <w:spacing w:line="360" w:lineRule="exact"/>
              <w:rPr>
                <w:rFonts w:hint="eastAsia" w:ascii="宋体" w:hAnsi="宋体" w:cs="宋体"/>
                <w:szCs w:val="21"/>
              </w:rPr>
            </w:pPr>
            <w:r>
              <w:rPr>
                <w:rFonts w:hint="eastAsia" w:ascii="宋体" w:hAnsi="宋体" w:cs="宋体"/>
                <w:szCs w:val="21"/>
              </w:rPr>
              <w:t xml:space="preserve">10.保证数据信息传输处理的高效率；</w:t>
            </w:r>
            <w:r/>
          </w:p>
          <w:p>
            <w:pPr>
              <w:jc w:val="left"/>
              <w:spacing w:line="360" w:lineRule="exact"/>
              <w:rPr>
                <w:rFonts w:hint="eastAsia" w:ascii="宋体" w:hAnsi="宋体" w:cs="宋体"/>
                <w:szCs w:val="21"/>
              </w:rPr>
            </w:pPr>
            <w:r>
              <w:rPr>
                <w:rFonts w:hint="eastAsia" w:ascii="宋体" w:hAnsi="宋体" w:cs="宋体"/>
                <w:szCs w:val="21"/>
              </w:rPr>
              <w:t xml:space="preserve">11.支持故障恢复和故障迁移的功能，保证应用系统7x24小时不间断运行；</w:t>
            </w:r>
            <w:r/>
          </w:p>
          <w:p>
            <w:pPr>
              <w:jc w:val="left"/>
              <w:spacing w:line="360" w:lineRule="exact"/>
              <w:rPr>
                <w:rFonts w:hint="eastAsia" w:ascii="宋体" w:hAnsi="宋体" w:cs="宋体"/>
                <w:szCs w:val="21"/>
              </w:rPr>
            </w:pPr>
            <w:r>
              <w:rPr>
                <w:rFonts w:hint="eastAsia" w:ascii="宋体" w:hAnsi="宋体" w:cs="宋体"/>
                <w:szCs w:val="21"/>
              </w:rPr>
              <w:t xml:space="preserve">12.能自动汇总和计算采集到的环境信息；</w:t>
            </w:r>
            <w:r/>
          </w:p>
          <w:p>
            <w:pPr>
              <w:jc w:val="left"/>
              <w:spacing w:line="360" w:lineRule="exact"/>
              <w:rPr>
                <w:rFonts w:hint="eastAsia" w:ascii="宋体" w:hAnsi="宋体" w:cs="宋体"/>
                <w:szCs w:val="21"/>
              </w:rPr>
            </w:pPr>
            <w:r>
              <w:rPr>
                <w:rFonts w:hint="eastAsia" w:ascii="宋体" w:hAnsi="宋体" w:cs="宋体"/>
                <w:szCs w:val="21"/>
              </w:rPr>
              <w:t xml:space="preserve">13.支持TCP/IP、</w:t>
            </w:r>
            <w:r>
              <w:rPr>
                <w:rFonts w:ascii="宋体" w:hAnsi="宋体" w:cs="宋体"/>
                <w:szCs w:val="21"/>
              </w:rPr>
              <w:t xml:space="preserve">4G、5G</w:t>
            </w:r>
            <w:r>
              <w:rPr>
                <w:rFonts w:hint="eastAsia" w:ascii="宋体" w:hAnsi="宋体" w:cs="宋体"/>
                <w:szCs w:val="21"/>
              </w:rPr>
              <w:t xml:space="preserve">、Zigbee等多种数据传输方式；</w:t>
            </w:r>
            <w:r/>
          </w:p>
          <w:p>
            <w:pPr>
              <w:jc w:val="left"/>
              <w:spacing w:line="360" w:lineRule="exact"/>
              <w:rPr>
                <w:rFonts w:hint="eastAsia" w:ascii="宋体" w:hAnsi="宋体" w:cs="宋体"/>
                <w:szCs w:val="21"/>
              </w:rPr>
            </w:pPr>
            <w:r>
              <w:rPr>
                <w:rFonts w:hint="eastAsia" w:ascii="宋体" w:hAnsi="宋体" w:cs="宋体"/>
                <w:szCs w:val="21"/>
              </w:rPr>
              <w:t xml:space="preserve">14.支持拓扑图动态调整，用户可以设定软件背景，并图形化显示各监测点数据，各监测点位置可以用鼠标动态拖动调整；</w:t>
            </w:r>
            <w:r/>
          </w:p>
          <w:p>
            <w:pPr>
              <w:jc w:val="left"/>
              <w:spacing w:line="360" w:lineRule="exact"/>
              <w:rPr>
                <w:rFonts w:hint="eastAsia" w:ascii="宋体" w:hAnsi="宋体" w:cs="宋体"/>
                <w:szCs w:val="21"/>
              </w:rPr>
            </w:pPr>
            <w:r>
              <w:rPr>
                <w:rFonts w:hint="eastAsia" w:ascii="宋体" w:hAnsi="宋体" w:cs="宋体"/>
                <w:szCs w:val="21"/>
              </w:rPr>
              <w:t xml:space="preserve">15.预留控制接口，支持远程控制，以便用户在软件界面上实施远程控制；</w:t>
            </w:r>
            <w:r/>
          </w:p>
          <w:p>
            <w:pPr>
              <w:jc w:val="left"/>
              <w:spacing w:line="360" w:lineRule="exact"/>
              <w:rPr>
                <w:rFonts w:hint="eastAsia" w:ascii="宋体" w:hAnsi="宋体" w:cs="宋体"/>
                <w:szCs w:val="21"/>
              </w:rPr>
            </w:pPr>
            <w:r>
              <w:rPr>
                <w:rFonts w:hint="eastAsia" w:ascii="宋体" w:hAnsi="宋体" w:cs="宋体"/>
                <w:szCs w:val="21"/>
              </w:rPr>
              <w:t xml:space="preserve">16.软件安全，访问安全，存储安全，数据库安全，网络安全和安全管理，支持用户分级管理功能，支持设备分区域管理；</w:t>
            </w:r>
            <w:r/>
          </w:p>
          <w:p>
            <w:pPr>
              <w:jc w:val="left"/>
              <w:spacing w:line="360" w:lineRule="exact"/>
              <w:rPr>
                <w:rFonts w:hint="eastAsia" w:ascii="宋体" w:hAnsi="宋体" w:cs="宋体"/>
                <w:szCs w:val="21"/>
              </w:rPr>
            </w:pPr>
            <w:r>
              <w:rPr>
                <w:rFonts w:hint="eastAsia" w:ascii="宋体" w:hAnsi="宋体" w:cs="宋体"/>
                <w:szCs w:val="21"/>
              </w:rPr>
              <w:t xml:space="preserve">17.支持对系统运行状态、动态监控与管理功能；</w:t>
            </w:r>
            <w:r/>
          </w:p>
          <w:p>
            <w:pPr>
              <w:jc w:val="left"/>
              <w:spacing w:line="360" w:lineRule="exact"/>
              <w:rPr>
                <w:rFonts w:hint="eastAsia" w:ascii="宋体" w:hAnsi="宋体" w:cs="宋体"/>
                <w:szCs w:val="21"/>
              </w:rPr>
            </w:pPr>
            <w:r>
              <w:rPr>
                <w:rFonts w:hint="eastAsia" w:ascii="宋体" w:hAnsi="宋体" w:cs="宋体"/>
                <w:szCs w:val="21"/>
              </w:rPr>
              <w:t xml:space="preserve">（▲）18.软件系统安全可靠，需符合《信息安全等级保护管理办法》二级（或以上）测评要求。（</w:t>
            </w:r>
            <w:r>
              <w:rPr>
                <w:rFonts w:hint="eastAsia" w:ascii="宋体" w:hAnsi="宋体" w:cs="宋体"/>
                <w:color w:val="000000"/>
                <w:szCs w:val="21"/>
                <w:lang w:bidi="ar"/>
              </w:rPr>
              <w:t xml:space="preserve">投标文件中</w:t>
            </w:r>
            <w:r>
              <w:rPr>
                <w:rFonts w:hint="eastAsia" w:ascii="宋体" w:hAnsi="宋体" w:cs="宋体"/>
                <w:szCs w:val="21"/>
              </w:rPr>
              <w:t xml:space="preserve">提供信息安全等级保护管理部门出具的安全等级保护测评结果通知书，要求级别为2级或以上）</w:t>
            </w:r>
            <w:r/>
          </w:p>
        </w:tc>
      </w:tr>
    </w:tbl>
    <w:p>
      <w:pPr>
        <w:pStyle w:val="695"/>
        <w:ind w:firstLine="420"/>
        <w:spacing w:line="360" w:lineRule="auto"/>
        <w:rPr>
          <w:rFonts w:hint="eastAsia" w:hAnsi="宋体" w:eastAsia="宋体"/>
          <w:sz w:val="21"/>
          <w:szCs w:val="21"/>
        </w:rPr>
      </w:pPr>
      <w:r>
        <w:rPr>
          <w:rFonts w:hint="eastAsia" w:hAnsi="宋体" w:eastAsia="宋体"/>
          <w:sz w:val="21"/>
          <w:szCs w:val="21"/>
        </w:rPr>
      </w:r>
      <w:r/>
    </w:p>
    <w:p>
      <w:pPr>
        <w:pStyle w:val="695"/>
        <w:ind w:firstLine="420"/>
        <w:spacing w:line="360" w:lineRule="auto"/>
        <w:rPr>
          <w:rFonts w:hint="eastAsia" w:hAnsi="宋体" w:eastAsia="宋体"/>
          <w:sz w:val="21"/>
          <w:szCs w:val="21"/>
        </w:rPr>
      </w:pPr>
      <w:r>
        <w:rPr>
          <w:rFonts w:hint="eastAsia" w:hAnsi="宋体" w:eastAsia="宋体"/>
          <w:sz w:val="21"/>
          <w:szCs w:val="21"/>
        </w:rPr>
        <w:t xml:space="preserve">注：1、上述清单中：“序号1、多功能文物储藏柜”为本项目的核心产品，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35"/>
        <w:numPr>
          <w:ilvl w:val="0"/>
          <w:numId w:val="8"/>
        </w:numPr>
        <w:ind w:left="567" w:hanging="561"/>
        <w:spacing w:line="360" w:lineRule="auto"/>
        <w:rPr>
          <w:rFonts w:hint="eastAsia" w:cs="宋体"/>
          <w:b/>
          <w:sz w:val="21"/>
          <w:szCs w:val="21"/>
        </w:rPr>
      </w:pPr>
      <w:r>
        <w:rPr>
          <w:rFonts w:hint="eastAsia" w:cs="宋体"/>
          <w:b/>
          <w:sz w:val="21"/>
          <w:szCs w:val="21"/>
        </w:rPr>
        <w:t xml:space="preserve">综合说明</w:t>
      </w:r>
      <w:r/>
    </w:p>
    <w:p>
      <w:pPr>
        <w:ind w:firstLine="420"/>
        <w:spacing w:line="360" w:lineRule="auto"/>
        <w:rPr>
          <w:rFonts w:hint="eastAsia" w:ascii="宋体" w:hAnsi="宋体"/>
          <w:bCs/>
          <w:szCs w:val="21"/>
        </w:rPr>
      </w:pPr>
      <w:r>
        <w:rPr>
          <w:rFonts w:hint="eastAsia" w:ascii="宋体" w:hAnsi="宋体"/>
          <w:bCs/>
          <w:szCs w:val="21"/>
        </w:rPr>
        <w:t xml:space="preserve">1、供应商提供货物及配件均为按国家规格条例生产的合格正规产品、符合设计规范要求。所有投标产品的生产、制造、安装等各项技术标准应当符合国家（强制性）标准、各项规范要求；产品质量及安装符合国家质量标准和验收规范，并响应招标文件所规定技术性能要求，以及中标人承诺的其他指标；国家具有强制性标准的，所投产品须符合国家强制性标准。供应商必需在投标文件的</w:t>
      </w:r>
      <w:r>
        <w:rPr>
          <w:rFonts w:hint="eastAsia" w:ascii="宋体" w:hAnsi="宋体" w:cs="宋体"/>
          <w:szCs w:val="21"/>
        </w:rPr>
        <w:t xml:space="preserve">清单中提供产品名称、用途、品牌和制造厂商。</w:t>
      </w:r>
      <w:r/>
    </w:p>
    <w:p>
      <w:pPr>
        <w:ind w:firstLine="420"/>
        <w:spacing w:line="360" w:lineRule="auto"/>
        <w:rPr>
          <w:rFonts w:hint="eastAsia" w:ascii="宋体" w:hAnsi="宋体"/>
          <w:bCs/>
          <w:szCs w:val="21"/>
        </w:rPr>
      </w:pPr>
      <w:r>
        <w:rPr>
          <w:rFonts w:hint="eastAsia" w:ascii="宋体" w:hAnsi="宋体"/>
          <w:bCs/>
          <w:szCs w:val="21"/>
        </w:rPr>
        <w:t xml:space="preserve">2、投标产品必须完全符合采购产品规定的质量、规格和性能的要求，响应供应商应保证其提供的产品在正确安装、正常使用和保养条件下，在规定的使用寿命期内具有满意的性能。</w:t>
      </w:r>
      <w:r/>
    </w:p>
    <w:p>
      <w:pPr>
        <w:ind w:firstLine="420"/>
        <w:spacing w:line="360" w:lineRule="auto"/>
        <w:rPr>
          <w:rFonts w:hint="eastAsia" w:ascii="宋体" w:hAnsi="宋体"/>
          <w:bCs/>
          <w:szCs w:val="21"/>
          <w:u w:val="single"/>
        </w:rPr>
      </w:pPr>
      <w:r>
        <w:rPr>
          <w:rFonts w:hint="eastAsia" w:ascii="宋体" w:hAnsi="宋体"/>
          <w:bCs/>
          <w:szCs w:val="21"/>
        </w:rPr>
        <w:t xml:space="preserve">3、投标人必须明确所投产品的品牌、规格和尺寸及一些必须说明的内容，以及使用的材料的清单，同时明确生产厂家、规格等，并提供详细的材质说明，否则将可能导致其投标文件被评标小组拒绝。投标单位须使用优质环保的原材料及五金件，并提供保证正常使用所必需的配件；并在投标文件中列出清单，在保修期满后十年内以优惠价格供应正常使用所必需的其他配件，列出清单，标明名称、单价和生产厂家等，其费用在投标文件中列明，但不包括在本次投标总价中。</w:t>
      </w:r>
      <w:r>
        <w:rPr>
          <w:rFonts w:hint="eastAsia" w:ascii="宋体" w:hAnsi="宋体"/>
          <w:bCs/>
          <w:szCs w:val="21"/>
          <w:u w:val="single"/>
        </w:rPr>
        <w:t xml:space="preserve">采购清单中若出现品牌则仅作为参考，投标单位所投品牌必须在技术、功能、性能等参数上满足或优于招标文件中品牌的要求。</w:t>
      </w:r>
      <w:r/>
    </w:p>
    <w:p>
      <w:pPr>
        <w:ind w:firstLine="420"/>
        <w:spacing w:line="360" w:lineRule="auto"/>
        <w:rPr>
          <w:rFonts w:hint="eastAsia" w:ascii="宋体" w:hAnsi="宋体"/>
          <w:bCs/>
          <w:szCs w:val="21"/>
        </w:rPr>
      </w:pPr>
      <w:r>
        <w:rPr>
          <w:rFonts w:hint="eastAsia" w:ascii="宋体" w:hAnsi="宋体"/>
          <w:bCs/>
          <w:szCs w:val="21"/>
        </w:rPr>
        <w:t xml:space="preserve">4、投标文件</w:t>
      </w:r>
      <w:r>
        <w:rPr>
          <w:rFonts w:hint="eastAsia" w:ascii="Times New Roman" w:hAnsi="宋体" w:eastAsia="宋体" w:cs="宋体"/>
          <w:bCs w:val="0"/>
          <w:color w:val="000000" w:themeColor="text1"/>
          <w:szCs w:val="21"/>
          <w14:textFill>
            <w14:solidFill>
              <w14:schemeClr w14:val="tx1"/>
            </w14:solidFill>
          </w14:textFill>
        </w:rPr>
        <w:t xml:space="preserve">中的投标报价</w:t>
      </w:r>
      <w:r>
        <w:rPr>
          <w:rFonts w:hint="eastAsia" w:hAnsi="宋体" w:eastAsia="宋体" w:cs="宋体"/>
          <w:color w:val="000000" w:themeColor="text1"/>
          <w:sz w:val="21"/>
          <w:szCs w:val="21"/>
          <w14:textFill>
            <w14:solidFill>
              <w14:schemeClr w14:val="tx1"/>
            </w14:solidFill>
          </w14:textFill>
        </w:rPr>
        <w:t xml:space="preserve">包括全部货物、拆除、无害化处理、劳务、管理、材料、辅助材料、安装、调试、维护、施工、人工、机械、运输、装卸、仓储、垃圾清扫和搬运、有关部门的检测、检验、整改、验收、保险、利润、税金、政策性文件规定及本项目包含的所有风险、责任等各项应有费用</w:t>
      </w:r>
      <w:r>
        <w:rPr>
          <w:rFonts w:hint="eastAsia" w:ascii="宋体" w:hAnsi="宋体"/>
          <w:bCs/>
          <w:szCs w:val="21"/>
          <w14:textFill>
            <w14:gradFill>
              <w14:gsLst>
                <w14:gs w14:pos="0">
                  <w14:srgbClr w14:val="DF0303"/>
                </w14:gs>
                <w14:gs w14:pos="51300">
                  <w14:srgbClr w14:val="FE5F4A"/>
                </w14:gs>
                <w14:gs w14:pos="100000">
                  <w14:srgbClr w14:val="FEA06E"/>
                </w14:gs>
              </w14:gsLst>
              <w14:lin w14:ang="5400000" w14:scaled="1"/>
            </w14:gradFill>
          </w14:textFill>
        </w:rPr>
        <w:t xml:space="preserve">。</w:t>
      </w:r>
      <w:r/>
    </w:p>
    <w:p>
      <w:pPr>
        <w:ind w:firstLine="420"/>
        <w:spacing w:line="360" w:lineRule="auto"/>
        <w:rPr>
          <w:rFonts w:hint="eastAsia" w:ascii="宋体" w:hAnsi="宋体"/>
          <w:bCs/>
          <w:szCs w:val="21"/>
        </w:rPr>
      </w:pPr>
      <w:r>
        <w:rPr>
          <w:rFonts w:hint="eastAsia" w:ascii="宋体" w:hAnsi="宋体"/>
          <w:bCs/>
          <w:szCs w:val="21"/>
        </w:rPr>
        <w:t xml:space="preserve">5、投标人应提供绿色环保的货物</w:t>
      </w:r>
      <w:r>
        <w:rPr>
          <w:rFonts w:hint="eastAsia" w:ascii="宋体" w:hAnsi="宋体" w:cs="宋体"/>
          <w:spacing w:val="-4"/>
          <w:szCs w:val="21"/>
        </w:rPr>
        <w:t xml:space="preserve">。</w:t>
      </w:r>
      <w:r>
        <w:rPr>
          <w:rFonts w:hint="eastAsia" w:ascii="宋体" w:hAnsi="宋体"/>
          <w:bCs/>
          <w:szCs w:val="21"/>
        </w:rPr>
        <w:t xml:space="preserve">所使用的主辅材料应符合国家环保标准。招标文件中的材质要求为最低参照要求，如有偏离只能高于原材质要求，低于原材质要求的投标文件为无效投标文件。  </w:t>
      </w:r>
      <w:r/>
    </w:p>
    <w:p>
      <w:pPr>
        <w:ind w:firstLine="315"/>
        <w:spacing w:line="360" w:lineRule="auto"/>
        <w:tabs>
          <w:tab w:val="left" w:pos="142" w:leader="none"/>
        </w:tabs>
        <w:rPr>
          <w:rFonts w:hint="eastAsia" w:ascii="宋体" w:hAnsi="宋体" w:cs="宋体"/>
          <w:szCs w:val="21"/>
        </w:rPr>
      </w:pPr>
      <w:r>
        <w:rPr>
          <w:rFonts w:hint="eastAsia" w:ascii="宋体" w:hAnsi="宋体"/>
          <w:bCs/>
          <w:szCs w:val="21"/>
        </w:rPr>
        <w:t xml:space="preserve">6、投标人</w:t>
      </w:r>
      <w:r>
        <w:rPr>
          <w:rFonts w:hint="eastAsia" w:ascii="宋体" w:hAnsi="宋体" w:cs="宋体"/>
          <w:szCs w:val="21"/>
        </w:rPr>
        <w:t xml:space="preserve">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家通用标准，如出现质量问题或系假冒伪劣产品，供应商负责包退、包换，发生的费用由供应商负责。</w:t>
      </w:r>
      <w:r/>
    </w:p>
    <w:p>
      <w:pPr>
        <w:ind w:firstLine="420"/>
        <w:spacing w:line="360" w:lineRule="auto"/>
        <w:rPr>
          <w:rFonts w:hint="eastAsia" w:ascii="宋体" w:hAnsi="宋体"/>
          <w:bCs/>
          <w:szCs w:val="21"/>
        </w:rPr>
      </w:pPr>
      <w:r>
        <w:rPr>
          <w:rFonts w:hint="eastAsia" w:ascii="宋体" w:hAnsi="宋体"/>
          <w:bCs/>
          <w:szCs w:val="21"/>
        </w:rPr>
        <w:t xml:space="preserve">7、交货时间：合同签订之日起3个月内完成交货、安装及调试。（具体根据采购单位要求为准）。</w:t>
      </w:r>
      <w:r/>
    </w:p>
    <w:p>
      <w:pPr>
        <w:ind w:firstLine="420"/>
        <w:spacing w:line="360" w:lineRule="auto"/>
        <w:rPr>
          <w:rFonts w:hint="eastAsia" w:ascii="宋体" w:hAnsi="宋体"/>
          <w:bCs/>
          <w:szCs w:val="21"/>
        </w:rPr>
      </w:pPr>
      <w:r>
        <w:rPr>
          <w:rFonts w:hint="eastAsia" w:ascii="宋体" w:hAnsi="宋体"/>
          <w:bCs/>
          <w:szCs w:val="21"/>
        </w:rPr>
        <w:t xml:space="preserve">8、交货地点：甲方指定地点。</w:t>
      </w:r>
      <w:r/>
    </w:p>
    <w:p>
      <w:pPr>
        <w:ind w:firstLine="420"/>
        <w:spacing w:line="360" w:lineRule="auto"/>
        <w:rPr>
          <w:rFonts w:hint="eastAsia" w:ascii="宋体" w:hAnsi="宋体"/>
          <w:bCs/>
          <w:szCs w:val="21"/>
        </w:rPr>
      </w:pPr>
      <w:r>
        <w:rPr>
          <w:rFonts w:hint="eastAsia" w:ascii="宋体" w:hAnsi="宋体"/>
          <w:bCs/>
          <w:szCs w:val="21"/>
        </w:rPr>
        <w:t xml:space="preserve">9、安装调试要求：</w:t>
      </w:r>
      <w:r/>
    </w:p>
    <w:p>
      <w:pPr>
        <w:ind w:firstLine="420"/>
        <w:spacing w:line="360" w:lineRule="auto"/>
        <w:rPr>
          <w:rFonts w:hint="eastAsia" w:ascii="宋体" w:hAnsi="宋体"/>
          <w:bCs/>
          <w:szCs w:val="21"/>
        </w:rPr>
      </w:pPr>
      <w:r>
        <w:rPr>
          <w:rFonts w:hint="eastAsia" w:ascii="宋体" w:hAnsi="宋体"/>
          <w:bCs/>
          <w:szCs w:val="21"/>
        </w:rPr>
        <w:t xml:space="preserve">（1）现场安装必须符合国家相关行业标准和验收标准；</w:t>
      </w:r>
      <w:r/>
    </w:p>
    <w:p>
      <w:pPr>
        <w:ind w:firstLine="420"/>
        <w:spacing w:line="360" w:lineRule="auto"/>
        <w:rPr>
          <w:rFonts w:hint="eastAsia" w:ascii="宋体" w:hAnsi="宋体"/>
          <w:bCs/>
          <w:szCs w:val="21"/>
        </w:rPr>
      </w:pPr>
      <w:r>
        <w:rPr>
          <w:rFonts w:hint="eastAsia" w:ascii="宋体" w:hAnsi="宋体"/>
          <w:bCs/>
          <w:szCs w:val="21"/>
        </w:rPr>
        <w:t xml:space="preserve">（2）中标供应商应遵守现场采购人的一切规章制度，文明安装和调试；</w:t>
      </w:r>
      <w:r/>
    </w:p>
    <w:p>
      <w:pPr>
        <w:ind w:firstLine="420"/>
        <w:spacing w:line="360" w:lineRule="auto"/>
        <w:rPr>
          <w:rFonts w:hint="eastAsia" w:ascii="宋体" w:hAnsi="宋体"/>
          <w:bCs/>
          <w:szCs w:val="21"/>
        </w:rPr>
      </w:pPr>
      <w:r>
        <w:rPr>
          <w:rFonts w:hint="eastAsia" w:ascii="宋体" w:hAnsi="宋体"/>
          <w:bCs/>
          <w:szCs w:val="21"/>
        </w:rPr>
        <w:t xml:space="preserve">（3）中标供应商负责保管、看护进场的设备及附配件；</w:t>
      </w:r>
      <w:r/>
    </w:p>
    <w:p>
      <w:pPr>
        <w:ind w:firstLine="420"/>
        <w:spacing w:line="360" w:lineRule="auto"/>
        <w:rPr>
          <w:rFonts w:hint="eastAsia" w:ascii="宋体" w:hAnsi="宋体"/>
          <w:bCs/>
          <w:szCs w:val="21"/>
        </w:rPr>
      </w:pPr>
      <w:r>
        <w:rPr>
          <w:rFonts w:hint="eastAsia" w:ascii="宋体" w:hAnsi="宋体"/>
          <w:bCs/>
          <w:szCs w:val="21"/>
        </w:rPr>
        <w:t xml:space="preserve">（4）中标供应商负责对设备、安装设备(工具)等提供适当的保护、包装或覆盖等处理，以免受损；</w:t>
      </w:r>
      <w:r/>
    </w:p>
    <w:p>
      <w:pPr>
        <w:ind w:firstLine="420"/>
        <w:spacing w:line="360" w:lineRule="auto"/>
        <w:rPr>
          <w:rFonts w:hint="eastAsia" w:ascii="宋体" w:hAnsi="宋体"/>
          <w:bCs/>
          <w:szCs w:val="21"/>
        </w:rPr>
      </w:pPr>
      <w:r>
        <w:rPr>
          <w:rFonts w:hint="eastAsia" w:ascii="宋体" w:hAnsi="宋体"/>
          <w:bCs/>
          <w:szCs w:val="21"/>
        </w:rPr>
        <w:t xml:space="preserve">（5）安装调试人员对邻近设备、管线等造成损坏，应由中标供应商负责修复及承担一切直接费用；</w:t>
      </w:r>
      <w:r/>
    </w:p>
    <w:p>
      <w:pPr>
        <w:ind w:firstLine="420"/>
        <w:spacing w:line="360" w:lineRule="auto"/>
        <w:rPr>
          <w:rFonts w:hint="eastAsia" w:ascii="宋体" w:hAnsi="宋体"/>
          <w:bCs/>
          <w:szCs w:val="21"/>
        </w:rPr>
      </w:pPr>
      <w:r>
        <w:rPr>
          <w:rFonts w:hint="eastAsia" w:ascii="宋体" w:hAnsi="宋体"/>
          <w:bCs/>
          <w:szCs w:val="21"/>
        </w:rPr>
        <w:t xml:space="preserve">（6）无论安装调试期间或免费保修保养过程中，中标供应商均需负责及时清理由此产生的垃圾；</w:t>
      </w:r>
      <w:r/>
    </w:p>
    <w:p>
      <w:pPr>
        <w:ind w:firstLine="420"/>
        <w:spacing w:line="360" w:lineRule="auto"/>
        <w:rPr>
          <w:rFonts w:hint="eastAsia" w:ascii="宋体" w:hAnsi="宋体"/>
          <w:bCs/>
          <w:szCs w:val="21"/>
        </w:rPr>
      </w:pPr>
      <w:r>
        <w:rPr>
          <w:rFonts w:hint="eastAsia" w:ascii="宋体" w:hAnsi="宋体"/>
          <w:bCs/>
          <w:szCs w:val="21"/>
        </w:rPr>
        <w:t xml:space="preserve">（7）中标供应商应承担安装调试期间设备和安装调试人员的安全责任；</w:t>
      </w:r>
      <w:r/>
    </w:p>
    <w:p>
      <w:pPr>
        <w:ind w:firstLine="420"/>
        <w:spacing w:line="360" w:lineRule="auto"/>
        <w:rPr>
          <w:rFonts w:hint="eastAsia" w:ascii="宋体" w:hAnsi="宋体"/>
          <w:bCs/>
          <w:szCs w:val="21"/>
        </w:rPr>
      </w:pPr>
      <w:r>
        <w:rPr>
          <w:rFonts w:hint="eastAsia" w:ascii="宋体" w:hAnsi="宋体"/>
          <w:bCs/>
          <w:szCs w:val="21"/>
        </w:rPr>
        <w:t xml:space="preserve">（8）在项目实施期间所发生的一切安全责任事故均由中标供应商负责承担中标供应商应做好相关安全教育工作及现场安全保护措施,并配备相关安全管理人员负责现场安全施工工作。</w:t>
      </w:r>
      <w:r/>
    </w:p>
    <w:p>
      <w:pPr>
        <w:ind w:firstLine="420"/>
        <w:spacing w:line="360" w:lineRule="auto"/>
        <w:rPr>
          <w:rFonts w:hint="eastAsia" w:ascii="宋体" w:hAnsi="宋体"/>
          <w:bCs/>
          <w:szCs w:val="21"/>
        </w:rPr>
      </w:pPr>
      <w:r>
        <w:rPr>
          <w:rFonts w:hint="eastAsia" w:ascii="宋体" w:hAnsi="宋体"/>
          <w:bCs/>
          <w:szCs w:val="21"/>
        </w:rPr>
        <w:t xml:space="preserve">10、其他要求</w:t>
      </w:r>
      <w:r/>
    </w:p>
    <w:p>
      <w:pPr>
        <w:ind w:firstLine="420"/>
        <w:spacing w:line="360" w:lineRule="auto"/>
      </w:pPr>
      <w:r>
        <w:rPr>
          <w:rFonts w:hint="eastAsia" w:ascii="宋体" w:hAnsi="宋体"/>
          <w:bCs/>
          <w:szCs w:val="21"/>
        </w:rPr>
        <w:t xml:space="preserve">项目实施需对基本库1、基本库2、基本库3的顶面进行复原，基本库2、基本库3地面铺设PVC地胶。</w:t>
      </w:r>
      <w:r/>
    </w:p>
    <w:p>
      <w:pPr>
        <w:ind w:firstLine="420"/>
        <w:spacing w:line="360" w:lineRule="auto"/>
        <w:rPr>
          <w:rFonts w:hint="eastAsia" w:ascii="宋体" w:hAnsi="宋体"/>
          <w:b/>
          <w:szCs w:val="21"/>
        </w:rPr>
      </w:pPr>
      <w:r>
        <w:rPr>
          <w:rFonts w:hint="eastAsia" w:ascii="宋体" w:hAnsi="宋体"/>
          <w:b/>
          <w:szCs w:val="21"/>
        </w:rPr>
        <w:t xml:space="preserve">11、售后服务要求：</w:t>
      </w:r>
      <w:r/>
    </w:p>
    <w:p>
      <w:pPr>
        <w:ind w:firstLine="422"/>
        <w:spacing w:line="360" w:lineRule="auto"/>
        <w:rPr>
          <w:rFonts w:hint="eastAsia" w:ascii="宋体" w:hAnsi="宋体"/>
          <w:bCs/>
          <w:szCs w:val="21"/>
        </w:rPr>
        <w:outlineLvl w:val="1"/>
      </w:pPr>
      <w:r>
        <w:rPr>
          <w:rFonts w:hint="eastAsia" w:ascii="宋体" w:hAnsi="宋体"/>
          <w:bCs/>
          <w:szCs w:val="21"/>
        </w:rPr>
        <w:t xml:space="preserve">（1）项目整体免费质保期为项目验收合格之日起不低于3年，质保期后的货物维护由双方协商再定。</w:t>
      </w:r>
      <w:r/>
    </w:p>
    <w:p>
      <w:pPr>
        <w:ind w:firstLine="422"/>
        <w:spacing w:line="360" w:lineRule="auto"/>
        <w:rPr>
          <w:rFonts w:hint="eastAsia" w:ascii="宋体" w:hAnsi="宋体"/>
          <w:bCs/>
          <w:szCs w:val="21"/>
        </w:rPr>
        <w:outlineLvl w:val="1"/>
      </w:pPr>
      <w:r>
        <w:rPr>
          <w:rFonts w:hint="eastAsia" w:ascii="宋体" w:hAnsi="宋体"/>
          <w:bCs/>
          <w:szCs w:val="21"/>
        </w:rPr>
        <w:t xml:space="preserve">（2）供应商应具备完善的售后服务体系，具有固定的维修人员并有能力及时处理所有可能发生的故障。产品出现故障损坏时，中标供应商接到报修通知后的响应时间为30分钟，安排的维修人员在4小时内赶到现场，一般故障1小时内解决，现场解决不了的重大故障，须从故障报修的隔天起计，3个日历天内解决。</w:t>
      </w:r>
      <w:r/>
    </w:p>
    <w:p>
      <w:pPr>
        <w:ind w:firstLine="422"/>
        <w:spacing w:line="360" w:lineRule="auto"/>
        <w:rPr>
          <w:rFonts w:hint="eastAsia" w:ascii="宋体" w:hAnsi="宋体"/>
          <w:bCs/>
          <w:szCs w:val="21"/>
        </w:rPr>
        <w:outlineLvl w:val="1"/>
      </w:pPr>
      <w:r>
        <w:rPr>
          <w:rFonts w:hint="eastAsia" w:ascii="宋体" w:hAnsi="宋体"/>
          <w:bCs/>
          <w:szCs w:val="21"/>
        </w:rPr>
        <w:t xml:space="preserve">12、验收要求：</w:t>
      </w:r>
      <w:r/>
    </w:p>
    <w:p>
      <w:pPr>
        <w:ind w:firstLine="422"/>
        <w:spacing w:line="360" w:lineRule="auto"/>
        <w:rPr>
          <w:rFonts w:hint="eastAsia" w:ascii="宋体" w:hAnsi="宋体"/>
          <w:bCs/>
          <w:szCs w:val="21"/>
        </w:rPr>
        <w:outlineLvl w:val="1"/>
      </w:pPr>
      <w:r>
        <w:rPr>
          <w:rFonts w:hint="eastAsia" w:ascii="宋体" w:hAnsi="宋体"/>
          <w:bCs/>
          <w:szCs w:val="21"/>
        </w:rPr>
        <w:t xml:space="preserve">（1）项目完成后，中标供应商须负责全部设备的保护和清洁工作，直至设备验收合格，交付招标人之日为止。</w:t>
      </w:r>
      <w:r/>
    </w:p>
    <w:p>
      <w:pPr>
        <w:ind w:firstLine="422"/>
        <w:spacing w:line="360" w:lineRule="auto"/>
        <w:rPr>
          <w:rFonts w:hint="eastAsia" w:ascii="宋体" w:hAnsi="宋体"/>
          <w:bCs/>
          <w:szCs w:val="21"/>
        </w:rPr>
        <w:outlineLvl w:val="1"/>
      </w:pPr>
      <w:r>
        <w:rPr>
          <w:rFonts w:hint="eastAsia" w:ascii="宋体" w:hAnsi="宋体"/>
          <w:bCs/>
          <w:szCs w:val="21"/>
        </w:rPr>
        <w:t xml:space="preserve">（2）验收结果符合国家强制性规定及本项目合同约定的产品标准和技术规格书:</w:t>
      </w:r>
      <w:r/>
    </w:p>
    <w:p>
      <w:pPr>
        <w:ind w:firstLine="422"/>
        <w:spacing w:line="360" w:lineRule="auto"/>
        <w:rPr>
          <w:rFonts w:hint="eastAsia" w:ascii="宋体" w:hAnsi="宋体"/>
          <w:bCs/>
          <w:szCs w:val="21"/>
        </w:rPr>
        <w:outlineLvl w:val="1"/>
      </w:pPr>
      <w:r>
        <w:rPr>
          <w:rFonts w:hint="eastAsia" w:ascii="宋体" w:hAnsi="宋体"/>
          <w:bCs/>
          <w:szCs w:val="21"/>
        </w:rPr>
        <w:t xml:space="preserve">（3）具体履行验收方案:</w:t>
      </w:r>
      <w:r/>
    </w:p>
    <w:p>
      <w:pPr>
        <w:ind w:firstLine="422"/>
        <w:spacing w:line="360" w:lineRule="auto"/>
        <w:rPr>
          <w:rFonts w:hint="eastAsia" w:ascii="宋体" w:hAnsi="宋体"/>
          <w:bCs/>
          <w:szCs w:val="21"/>
        </w:rPr>
        <w:outlineLvl w:val="1"/>
      </w:pPr>
      <w:r>
        <w:rPr>
          <w:rFonts w:hint="eastAsia" w:ascii="宋体" w:hAnsi="宋体"/>
          <w:bCs/>
          <w:szCs w:val="21"/>
        </w:rPr>
        <w:t xml:space="preserve">①组织验收团队</w:t>
      </w:r>
      <w:r/>
    </w:p>
    <w:p>
      <w:pPr>
        <w:ind w:firstLine="422"/>
        <w:spacing w:line="360" w:lineRule="auto"/>
        <w:rPr>
          <w:rFonts w:hint="eastAsia" w:ascii="宋体" w:hAnsi="宋体"/>
          <w:bCs/>
          <w:szCs w:val="21"/>
        </w:rPr>
        <w:outlineLvl w:val="1"/>
      </w:pPr>
      <w:r>
        <w:rPr>
          <w:rFonts w:hint="eastAsia" w:ascii="宋体" w:hAnsi="宋体"/>
          <w:bCs/>
          <w:szCs w:val="21"/>
        </w:rPr>
        <w:t xml:space="preserve">确定验收小组，具体团队组成人员按项目实际情况为准</w:t>
      </w:r>
      <w:r/>
    </w:p>
    <w:p>
      <w:pPr>
        <w:ind w:firstLine="422"/>
        <w:spacing w:line="360" w:lineRule="auto"/>
        <w:rPr>
          <w:rFonts w:hint="eastAsia" w:ascii="宋体" w:hAnsi="宋体"/>
          <w:bCs/>
          <w:szCs w:val="21"/>
        </w:rPr>
        <w:outlineLvl w:val="1"/>
      </w:pPr>
      <w:r>
        <w:rPr>
          <w:rFonts w:hint="eastAsia" w:ascii="宋体" w:hAnsi="宋体"/>
          <w:bCs/>
          <w:szCs w:val="21"/>
        </w:rPr>
        <w:t xml:space="preserve">（4）交货清单审核</w:t>
      </w:r>
      <w:r/>
    </w:p>
    <w:p>
      <w:pPr>
        <w:ind w:firstLine="422"/>
        <w:spacing w:line="360" w:lineRule="auto"/>
        <w:rPr>
          <w:rFonts w:hint="eastAsia" w:ascii="宋体" w:hAnsi="宋体"/>
          <w:bCs/>
          <w:szCs w:val="21"/>
        </w:rPr>
        <w:outlineLvl w:val="1"/>
      </w:pPr>
      <w:r>
        <w:rPr>
          <w:rFonts w:hint="eastAsia" w:ascii="宋体" w:hAnsi="宋体"/>
          <w:bCs/>
          <w:szCs w:val="21"/>
        </w:rPr>
        <w:t xml:space="preserve">核对采购合同中的设备型号、数量及技术指标;</w:t>
      </w:r>
      <w:r/>
    </w:p>
    <w:p>
      <w:pPr>
        <w:ind w:firstLine="422"/>
        <w:spacing w:line="360" w:lineRule="auto"/>
        <w:rPr>
          <w:rFonts w:hint="eastAsia" w:ascii="宋体" w:hAnsi="宋体"/>
          <w:bCs/>
          <w:szCs w:val="21"/>
        </w:rPr>
        <w:outlineLvl w:val="1"/>
      </w:pPr>
      <w:r>
        <w:rPr>
          <w:rFonts w:hint="eastAsia" w:ascii="宋体" w:hAnsi="宋体"/>
          <w:bCs/>
          <w:szCs w:val="21"/>
        </w:rPr>
        <w:t xml:space="preserve">检查产品说明书、出厂检测报告及3C认证文件;(若产品涉及)</w:t>
      </w:r>
      <w:r/>
    </w:p>
    <w:p>
      <w:pPr>
        <w:ind w:firstLine="422"/>
        <w:spacing w:line="360" w:lineRule="auto"/>
        <w:rPr>
          <w:rFonts w:hint="eastAsia" w:ascii="宋体" w:hAnsi="宋体"/>
          <w:bCs/>
          <w:szCs w:val="21"/>
        </w:rPr>
        <w:outlineLvl w:val="1"/>
      </w:pPr>
      <w:r>
        <w:rPr>
          <w:rFonts w:hint="eastAsia" w:ascii="宋体" w:hAnsi="宋体"/>
          <w:bCs/>
          <w:szCs w:val="21"/>
        </w:rPr>
        <w:t xml:space="preserve">确认售后服务是否符合行业标准</w:t>
      </w:r>
      <w:r/>
    </w:p>
    <w:p>
      <w:pPr>
        <w:ind w:firstLine="422"/>
        <w:spacing w:line="360" w:lineRule="auto"/>
        <w:rPr>
          <w:rFonts w:hint="eastAsia" w:ascii="宋体" w:hAnsi="宋体"/>
          <w:bCs/>
          <w:szCs w:val="21"/>
        </w:rPr>
        <w:outlineLvl w:val="1"/>
      </w:pPr>
      <w:r>
        <w:rPr>
          <w:rFonts w:hint="eastAsia" w:ascii="宋体" w:hAnsi="宋体"/>
          <w:bCs/>
          <w:szCs w:val="21"/>
        </w:rPr>
        <w:t xml:space="preserve">（5）各环节验收程序</w:t>
      </w:r>
      <w:r/>
    </w:p>
    <w:p>
      <w:pPr>
        <w:ind w:firstLine="422"/>
        <w:spacing w:line="360" w:lineRule="auto"/>
        <w:rPr>
          <w:rFonts w:hint="eastAsia" w:ascii="宋体" w:hAnsi="宋体"/>
          <w:bCs/>
          <w:szCs w:val="21"/>
        </w:rPr>
        <w:outlineLvl w:val="1"/>
      </w:pPr>
      <w:r>
        <w:rPr>
          <w:rFonts w:hint="eastAsia" w:ascii="宋体" w:hAnsi="宋体"/>
          <w:bCs/>
          <w:szCs w:val="21"/>
        </w:rPr>
        <w:t xml:space="preserve">①到货初验</w:t>
      </w:r>
      <w:r/>
    </w:p>
    <w:p>
      <w:pPr>
        <w:ind w:firstLine="422"/>
        <w:spacing w:line="360" w:lineRule="auto"/>
        <w:rPr>
          <w:rFonts w:hint="eastAsia" w:ascii="宋体" w:hAnsi="宋体"/>
          <w:bCs/>
          <w:szCs w:val="21"/>
        </w:rPr>
        <w:outlineLvl w:val="1"/>
      </w:pPr>
      <w:r>
        <w:rPr>
          <w:rFonts w:hint="eastAsia" w:ascii="宋体" w:hAnsi="宋体"/>
          <w:bCs/>
          <w:szCs w:val="21"/>
        </w:rPr>
        <w:t xml:space="preserve">外观检查:设备无运输损伤，标识清晰，配件齐全包装核验:型号与合同一致，防拆封标签完好</w:t>
      </w:r>
      <w:r/>
    </w:p>
    <w:p>
      <w:pPr>
        <w:ind w:firstLine="422"/>
        <w:spacing w:line="360" w:lineRule="auto"/>
        <w:rPr>
          <w:rFonts w:hint="eastAsia" w:ascii="宋体" w:hAnsi="宋体"/>
          <w:bCs/>
          <w:szCs w:val="21"/>
        </w:rPr>
        <w:outlineLvl w:val="1"/>
      </w:pPr>
      <w:r>
        <w:rPr>
          <w:rFonts w:hint="eastAsia" w:ascii="宋体" w:hAnsi="宋体"/>
          <w:bCs/>
          <w:szCs w:val="21"/>
        </w:rPr>
        <w:t xml:space="preserve">②安装调试验收</w:t>
      </w:r>
      <w:r/>
    </w:p>
    <w:p>
      <w:pPr>
        <w:ind w:firstLine="422"/>
        <w:spacing w:line="360" w:lineRule="auto"/>
        <w:rPr>
          <w:rFonts w:hint="eastAsia" w:ascii="宋体" w:hAnsi="宋体"/>
          <w:bCs/>
          <w:szCs w:val="21"/>
        </w:rPr>
        <w:outlineLvl w:val="1"/>
      </w:pPr>
      <w:r>
        <w:rPr>
          <w:rFonts w:hint="eastAsia" w:ascii="宋体" w:hAnsi="宋体"/>
          <w:bCs/>
          <w:szCs w:val="21"/>
        </w:rPr>
        <w:t xml:space="preserve">安装合规性:支架牢固度、线缆布设符合安全规范</w:t>
      </w:r>
      <w:r/>
    </w:p>
    <w:p>
      <w:pPr>
        <w:ind w:firstLine="422"/>
        <w:spacing w:line="360" w:lineRule="auto"/>
        <w:rPr>
          <w:rFonts w:hint="eastAsia" w:ascii="宋体" w:hAnsi="宋体"/>
          <w:bCs/>
          <w:szCs w:val="21"/>
        </w:rPr>
        <w:outlineLvl w:val="1"/>
      </w:pPr>
      <w:r>
        <w:rPr>
          <w:rFonts w:hint="eastAsia" w:ascii="宋体" w:hAnsi="宋体"/>
          <w:bCs/>
          <w:szCs w:val="21"/>
        </w:rPr>
        <w:t xml:space="preserve">③功能测试:</w:t>
      </w:r>
      <w:r/>
    </w:p>
    <w:p>
      <w:pPr>
        <w:ind w:firstLine="422"/>
        <w:spacing w:line="360" w:lineRule="auto"/>
        <w:rPr>
          <w:rFonts w:hint="eastAsia" w:ascii="宋体" w:hAnsi="宋体"/>
          <w:bCs/>
          <w:szCs w:val="21"/>
        </w:rPr>
        <w:outlineLvl w:val="1"/>
      </w:pPr>
      <w:r>
        <w:rPr>
          <w:rFonts w:hint="eastAsia" w:ascii="宋体" w:hAnsi="宋体"/>
          <w:bCs/>
          <w:szCs w:val="21"/>
        </w:rPr>
        <w:t xml:space="preserve">根据采购产品结合国家标准制定相关功能测试要求</w:t>
      </w:r>
      <w:r/>
    </w:p>
    <w:p>
      <w:pPr>
        <w:ind w:firstLine="422"/>
        <w:spacing w:line="360" w:lineRule="auto"/>
        <w:rPr>
          <w:rFonts w:hint="eastAsia" w:ascii="宋体" w:hAnsi="宋体"/>
          <w:bCs/>
          <w:szCs w:val="21"/>
        </w:rPr>
        <w:outlineLvl w:val="1"/>
      </w:pPr>
      <w:r>
        <w:rPr>
          <w:rFonts w:hint="eastAsia" w:ascii="宋体" w:hAnsi="宋体"/>
          <w:bCs/>
          <w:szCs w:val="21"/>
        </w:rPr>
        <w:t xml:space="preserve">④性能达标验收</w:t>
      </w:r>
      <w:r/>
    </w:p>
    <w:p>
      <w:pPr>
        <w:ind w:firstLine="422"/>
        <w:spacing w:line="360" w:lineRule="auto"/>
        <w:rPr>
          <w:rFonts w:hint="eastAsia" w:ascii="宋体" w:hAnsi="宋体"/>
          <w:bCs/>
          <w:szCs w:val="21"/>
        </w:rPr>
        <w:outlineLvl w:val="1"/>
      </w:pPr>
      <w:r>
        <w:rPr>
          <w:rFonts w:hint="eastAsia" w:ascii="宋体" w:hAnsi="宋体"/>
          <w:bCs/>
          <w:szCs w:val="21"/>
        </w:rPr>
        <w:t xml:space="preserve">关键指标检验、覆盖测试(若有需要，可以组织专家验收或安排第三方检测机构出具检测报告)</w:t>
      </w:r>
      <w:r/>
    </w:p>
    <w:p>
      <w:pPr>
        <w:ind w:firstLine="422"/>
        <w:spacing w:line="360" w:lineRule="auto"/>
        <w:rPr>
          <w:rFonts w:hint="eastAsia" w:ascii="宋体" w:hAnsi="宋体"/>
          <w:bCs/>
          <w:szCs w:val="21"/>
        </w:rPr>
        <w:outlineLvl w:val="1"/>
      </w:pPr>
      <w:r>
        <w:rPr>
          <w:rFonts w:hint="eastAsia" w:ascii="宋体" w:hAnsi="宋体"/>
          <w:bCs/>
          <w:szCs w:val="21"/>
        </w:rPr>
        <w:t xml:space="preserve">⑤争议处理机制</w:t>
      </w:r>
      <w:r/>
    </w:p>
    <w:p>
      <w:pPr>
        <w:ind w:firstLine="422"/>
        <w:spacing w:line="360" w:lineRule="auto"/>
        <w:rPr>
          <w:rFonts w:hint="eastAsia" w:ascii="宋体" w:hAnsi="宋体"/>
          <w:bCs/>
          <w:szCs w:val="21"/>
        </w:rPr>
        <w:outlineLvl w:val="1"/>
      </w:pPr>
      <w:r>
        <w:rPr>
          <w:rFonts w:hint="eastAsia" w:ascii="宋体" w:hAnsi="宋体"/>
          <w:bCs/>
          <w:szCs w:val="21"/>
        </w:rPr>
        <w:t xml:space="preserve">若验收过程中发现不符合要求需要整改的情况，接到通知后的响应时间为30分钟，安排的维修人员在4小时内赶到现场，一般故障1小时内解决，现场解决不了的重大故障，须从故障报修的隔天起计，3个日历天内解决。</w:t>
      </w:r>
      <w:r/>
    </w:p>
    <w:p>
      <w:pPr>
        <w:ind w:firstLine="422"/>
        <w:spacing w:line="360" w:lineRule="auto"/>
        <w:rPr>
          <w:rFonts w:hint="eastAsia" w:ascii="宋体" w:hAnsi="宋体"/>
          <w:bCs/>
          <w:szCs w:val="21"/>
        </w:rPr>
        <w:outlineLvl w:val="1"/>
      </w:pPr>
      <w:r>
        <w:rPr>
          <w:rFonts w:hint="eastAsia" w:ascii="宋体" w:hAnsi="宋体"/>
          <w:bCs/>
          <w:szCs w:val="21"/>
        </w:rPr>
        <w:t xml:space="preserve">终验文件:签署验收报告后进入质保期。</w:t>
      </w:r>
      <w:r/>
    </w:p>
    <w:p>
      <w:pPr>
        <w:ind w:firstLine="422"/>
        <w:spacing w:line="360" w:lineRule="auto"/>
        <w:rPr>
          <w:rFonts w:hint="eastAsia" w:ascii="宋体" w:hAnsi="宋体"/>
          <w:bCs/>
          <w:szCs w:val="21"/>
        </w:rPr>
        <w:outlineLvl w:val="1"/>
      </w:pPr>
      <w:r>
        <w:rPr>
          <w:rFonts w:hint="eastAsia" w:ascii="宋体" w:hAnsi="宋体"/>
          <w:bCs/>
          <w:szCs w:val="21"/>
        </w:rPr>
        <w:t xml:space="preserve">13、关于全面实行节能环保产品政府采购清单的要求：</w:t>
      </w:r>
      <w:r/>
    </w:p>
    <w:p>
      <w:pPr>
        <w:ind w:firstLine="422"/>
        <w:spacing w:line="360" w:lineRule="auto"/>
        <w:rPr>
          <w:rFonts w:hint="eastAsia" w:ascii="宋体" w:hAnsi="宋体"/>
          <w:bCs/>
          <w:szCs w:val="21"/>
        </w:rPr>
        <w:outlineLvl w:val="1"/>
      </w:pPr>
      <w:r>
        <w:rPr>
          <w:rFonts w:hint="eastAsia" w:ascii="宋体" w:hAnsi="宋体"/>
          <w:bCs/>
          <w:szCs w:val="21"/>
        </w:rPr>
        <w:t xml:space="preserve">若本次采购的产品属于财政部、国家发展改革委、生态环境部、市场监管总局等部门发布的节能产品、环境标志产品政府发布采购品目清单中属于强制采购产品的，供应商须在投标文件中提供所投产品由国家确定的认证机构出具的、处于有效期之内的节能产品、环境标志产品认证证书。节能产品、环境标志产品品目清单以递交投标文件截止时已正式公布的品目清单为准，未提供或提供不全的将视为未实质性响应采购要求。</w:t>
      </w:r>
      <w:r/>
    </w:p>
    <w:p>
      <w:pPr>
        <w:ind w:firstLine="422"/>
        <w:spacing w:line="360" w:lineRule="auto"/>
        <w:rPr>
          <w:rFonts w:hint="eastAsia" w:ascii="宋体" w:hAnsi="宋体"/>
          <w:bCs/>
          <w:szCs w:val="21"/>
        </w:rPr>
        <w:outlineLvl w:val="1"/>
      </w:pPr>
      <w:r>
        <w:rPr>
          <w:rFonts w:hint="eastAsia" w:ascii="宋体" w:hAnsi="宋体"/>
          <w:bCs/>
          <w:szCs w:val="21"/>
        </w:rPr>
        <w:t xml:space="preserve">13、凡涉及招标文件的补充说明和修改，均以政府采购网上发布的通知为准。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ind w:firstLine="880"/>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第五章 合同文本</w:t>
      </w:r>
      <w:r/>
    </w:p>
    <w:p>
      <w:pPr>
        <w:ind w:firstLine="630"/>
        <w:spacing w:line="360" w:lineRule="auto"/>
        <w:rPr>
          <w:rFonts w:hint="eastAsia" w:ascii="宋体" w:hAnsi="宋体" w:cs="宋体"/>
          <w:color w:val="000000" w:themeColor="text1"/>
          <w:szCs w:val="21"/>
          <w14:textFill>
            <w14:solidFill>
              <w14:schemeClr w14:val="tx1"/>
            </w14:solidFill>
          </w14:textFill>
        </w:rPr>
      </w:pPr>
      <w:r/>
      <w:bookmarkStart w:id="48" w:name="_Hlk121240775"/>
      <w:r>
        <w:rPr>
          <w:rFonts w:hint="eastAsia" w:ascii="宋体" w:hAnsi="宋体" w:cs="宋体"/>
          <w:color w:val="000000" w:themeColor="text1"/>
          <w:szCs w:val="21"/>
          <w14:textFill>
            <w14:solidFill>
              <w14:schemeClr w14:val="tx1"/>
            </w14:solidFill>
          </w14:textFill>
        </w:rPr>
        <w:t xml:space="preserve">项目名称：                                           项目编号：</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 </w:t>
      </w:r>
      <w:r>
        <w:rPr>
          <w:rFonts w:hint="eastAsia" w:ascii="宋体" w:hAnsi="宋体" w:cs="宋体"/>
          <w:color w:val="000000" w:themeColor="text1"/>
          <w:szCs w:val="21"/>
          <w14:textFill>
            <w14:solidFill>
              <w14:schemeClr w14:val="tx1"/>
            </w14:solidFill>
          </w14:textFill>
        </w:rPr>
        <w:tab/>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 </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乙方（中标人）：</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 </w:t>
      </w:r>
      <w:r>
        <w:rPr>
          <w:rFonts w:hint="eastAsia" w:ascii="宋体" w:hAnsi="宋体" w:cs="宋体"/>
          <w:color w:val="000000" w:themeColor="text1"/>
          <w:szCs w:val="21"/>
          <w14:textFill>
            <w14:solidFill>
              <w14:schemeClr w14:val="tx1"/>
            </w14:solidFill>
          </w14:textFill>
        </w:rPr>
        <w:tab/>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 </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spacing w:before="120" w:after="12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甲方所需</w:t>
      </w:r>
      <w:r>
        <w:rPr>
          <w:rFonts w:hint="eastAsia" w:ascii="宋体" w:hAnsi="宋体" w:cs="宋体"/>
          <w:color w:val="000000" w:themeColor="text1"/>
          <w:szCs w:val="21"/>
          <w:u w:val="single"/>
          <w14:textFill>
            <w14:solidFill>
              <w14:schemeClr w14:val="tx1"/>
            </w14:solidFill>
          </w14:textFill>
        </w:rPr>
        <w:t xml:space="preserve">(项目名称)</w:t>
      </w:r>
      <w:r>
        <w:rPr>
          <w:rFonts w:hint="eastAsia" w:ascii="宋体" w:hAnsi="宋体" w:cs="宋体"/>
          <w:color w:val="000000" w:themeColor="text1"/>
          <w:szCs w:val="21"/>
          <w14:textFill>
            <w14:solidFill>
              <w14:schemeClr w14:val="tx1"/>
            </w14:solidFill>
          </w14:textFill>
        </w:rPr>
        <w:t xml:space="preserve">经</w:t>
      </w:r>
      <w:r>
        <w:rPr>
          <w:rFonts w:hint="eastAsia" w:ascii="宋体" w:hAnsi="宋体" w:cs="宋体"/>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以</w:t>
      </w:r>
      <w:r>
        <w:rPr>
          <w:rFonts w:hint="eastAsia" w:ascii="宋体" w:hAnsi="宋体" w:cs="宋体"/>
          <w:color w:val="000000" w:themeColor="text1"/>
          <w:szCs w:val="21"/>
          <w:u w:val="single"/>
          <w14:textFill>
            <w14:solidFill>
              <w14:schemeClr w14:val="tx1"/>
            </w14:solidFill>
          </w14:textFill>
        </w:rPr>
        <w:t xml:space="preserve">公开招标</w:t>
      </w:r>
      <w:r>
        <w:rPr>
          <w:rFonts w:hint="eastAsia" w:ascii="宋体" w:hAnsi="宋体" w:cs="宋体"/>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bookmarkEnd w:id="48"/>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一、合同内容：</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乙方负责的甲方的</w:t>
      </w:r>
      <w:r>
        <w:rPr>
          <w:rFonts w:hint="eastAsia" w:ascii="宋体" w:hAnsi="宋体" w:cs="宋体"/>
          <w:color w:val="000000" w:themeColor="text1"/>
          <w:szCs w:val="21"/>
          <w:lang w:eastAsia="zh-CN"/>
          <w14:textFill>
            <w14:solidFill>
              <w14:schemeClr w14:val="tx1"/>
            </w14:solidFill>
          </w14:textFill>
        </w:rPr>
        <w:t xml:space="preserve">苏州吴文化博物馆库房文物预防性保护项目</w:t>
      </w:r>
      <w:r>
        <w:rPr>
          <w:rFonts w:hint="eastAsia" w:ascii="宋体" w:hAnsi="宋体" w:cs="宋体"/>
          <w:color w:val="000000" w:themeColor="text1"/>
          <w:szCs w:val="21"/>
          <w14:textFill>
            <w14:solidFill>
              <w14:schemeClr w14:val="tx1"/>
            </w14:solidFill>
          </w14:textFill>
        </w:rPr>
        <w:t xml:space="preserve">：</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、下列文件为本合同不可分割部分：</w:t>
      </w:r>
      <w:r/>
    </w:p>
    <w:p>
      <w:pPr>
        <w:pStyle w:val="695"/>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中标通知书；</w:t>
      </w:r>
      <w:r/>
    </w:p>
    <w:p>
      <w:pPr>
        <w:pStyle w:val="695"/>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投标书；</w:t>
      </w:r>
      <w:r/>
    </w:p>
    <w:p>
      <w:pPr>
        <w:pStyle w:val="695"/>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乙方在招投标过程中所作的其它承诺、声明、书面澄清等；</w:t>
      </w:r>
      <w:r/>
    </w:p>
    <w:p>
      <w:pPr>
        <w:pStyle w:val="695"/>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招标文件及其附件。</w:t>
      </w:r>
      <w:r/>
    </w:p>
    <w:p>
      <w:pPr>
        <w:ind w:left="2" w:firstLine="470"/>
        <w:spacing w:line="360" w:lineRule="auto"/>
        <w:rPr>
          <w:rFonts w:hint="eastAsia" w:ascii="宋体" w:hAnsi="宋体" w:cs="宋体"/>
          <w:szCs w:val="21"/>
          <w:lang w:val="zh-CN"/>
        </w:rPr>
      </w:pPr>
      <w:r>
        <w:rPr>
          <w:rFonts w:hint="eastAsia" w:ascii="宋体" w:hAnsi="宋体" w:cs="宋体"/>
          <w:szCs w:val="21"/>
        </w:rPr>
        <w:t xml:space="preserve">二</w:t>
      </w:r>
      <w:r>
        <w:rPr>
          <w:rFonts w:hint="eastAsia" w:ascii="宋体" w:hAnsi="宋体" w:cs="宋体"/>
          <w:szCs w:val="21"/>
          <w:lang w:val="zh-CN"/>
        </w:rPr>
        <w:t xml:space="preserve">、合同价格与支付：</w:t>
      </w:r>
      <w:r/>
    </w:p>
    <w:p>
      <w:pPr>
        <w:pStyle w:val="695"/>
        <w:ind w:firstLine="420"/>
        <w:spacing w:line="360" w:lineRule="auto"/>
        <w:rPr>
          <w:rFonts w:hint="eastAsia"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1、合同价格按此次中标价格执行，合同总金额为</w:t>
      </w:r>
      <w:r>
        <w:rPr>
          <w:rFonts w:hint="eastAsia" w:hAnsi="宋体" w:eastAsia="宋体" w:cs="宋体"/>
          <w:color w:val="000000" w:themeColor="text1"/>
          <w:sz w:val="21"/>
          <w:szCs w:val="21"/>
          <w:u w:val="single"/>
          <w14:textFill>
            <w14:solidFill>
              <w14:schemeClr w14:val="tx1"/>
            </w14:solidFill>
          </w14:textFill>
        </w:rPr>
        <w:t xml:space="preserve">     </w:t>
      </w:r>
      <w:r>
        <w:rPr>
          <w:rFonts w:hint="eastAsia" w:hAnsi="宋体" w:eastAsia="宋体" w:cs="宋体"/>
          <w:color w:val="000000" w:themeColor="text1"/>
          <w:sz w:val="21"/>
          <w:szCs w:val="21"/>
          <w14:textFill>
            <w14:solidFill>
              <w14:schemeClr w14:val="tx1"/>
            </w14:solidFill>
          </w14:textFill>
        </w:rPr>
        <w:t xml:space="preserve">（</w:t>
      </w:r>
      <w:r>
        <w:rPr>
          <w:rFonts w:hint="default" w:ascii="Arial" w:hAnsi="Arial" w:eastAsia="宋体" w:cs="Arial"/>
          <w:color w:val="000000" w:themeColor="text1"/>
          <w:sz w:val="21"/>
          <w:szCs w:val="21"/>
          <w14:textFill>
            <w14:solidFill>
              <w14:schemeClr w14:val="tx1"/>
            </w14:solidFill>
          </w14:textFill>
        </w:rPr>
        <w:t xml:space="preserve">¥</w:t>
      </w:r>
      <w:r>
        <w:rPr>
          <w:rFonts w:hint="eastAsia" w:hAnsi="宋体" w:eastAsia="宋体" w:cs="宋体"/>
          <w:color w:val="000000" w:themeColor="text1"/>
          <w:sz w:val="21"/>
          <w:szCs w:val="21"/>
          <w:u w:val="single"/>
          <w14:textFill>
            <w14:solidFill>
              <w14:schemeClr w14:val="tx1"/>
            </w14:solidFill>
          </w14:textFill>
        </w:rPr>
        <w:t xml:space="preserve">    </w:t>
      </w:r>
      <w:r>
        <w:rPr>
          <w:rFonts w:hint="eastAsia" w:hAnsi="宋体" w:eastAsia="宋体" w:cs="宋体"/>
          <w:color w:val="000000" w:themeColor="text1"/>
          <w:sz w:val="21"/>
          <w:szCs w:val="21"/>
          <w14:textFill>
            <w14:solidFill>
              <w14:schemeClr w14:val="tx1"/>
            </w14:solidFill>
          </w14:textFill>
        </w:rPr>
        <w:t xml:space="preserve">元），包括全部货物、拆除、无害化处理、劳务、管理、材料、辅助材料、安装、调试、维护、施工、人工、机械、运输、装卸、仓储、垃圾清扫和搬运、有关部门的检测、检验、整改、验收、保险、利润、税金、政策性文件规定及本项目包含的所有风险、责任等各项应有费用。</w:t>
      </w:r>
      <w:r/>
    </w:p>
    <w:p>
      <w:pPr>
        <w:pStyle w:val="695"/>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2、付款步骤：</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p>
      <w:pPr>
        <w:ind w:left="2" w:firstLine="47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合同签订后，甲方在收到</w:t>
      </w:r>
      <w:bookmarkStart w:id="49" w:name="OLE_LINK1"/>
      <w:r>
        <w:rPr>
          <w:rFonts w:hint="eastAsia" w:ascii="宋体" w:hAnsi="宋体" w:cs="宋体"/>
          <w:color w:val="000000" w:themeColor="text1"/>
          <w:szCs w:val="21"/>
          <w:highlight w:val="none"/>
          <w14:textFill>
            <w14:solidFill>
              <w14:schemeClr w14:val="tx1"/>
            </w14:solidFill>
          </w14:textFill>
        </w:rPr>
        <w:t xml:space="preserve">合法等额发票之日起</w:t>
      </w:r>
      <w:bookmarkEnd w:id="49"/>
      <w:r>
        <w:rPr>
          <w:rFonts w:hint="eastAsia" w:ascii="宋体" w:hAnsi="宋体" w:cs="宋体"/>
          <w:color w:val="000000" w:themeColor="text1"/>
          <w:szCs w:val="21"/>
          <w:highlight w:val="none"/>
          <w14:textFill>
            <w14:solidFill>
              <w14:schemeClr w14:val="tx1"/>
            </w14:solidFill>
          </w14:textFill>
        </w:rPr>
        <w:t xml:space="preserve">60日内预付合同价的30%，即</w:t>
      </w:r>
      <w:r>
        <w:rPr>
          <w:rFonts w:hint="eastAsia" w:ascii="宋体" w:hAnsi="宋体" w:cs="宋体"/>
          <w:color w:val="000000" w:themeColor="text1"/>
          <w:szCs w:val="21"/>
          <w:highlight w:val="none"/>
          <w:lang w:val="en-US" w:eastAsia="zh-CN"/>
          <w14:textFill>
            <w14:solidFill>
              <w14:schemeClr w14:val="tx1"/>
            </w14:solidFill>
          </w14:textFill>
        </w:rPr>
        <w:t xml:space="preserve">人民币大写________，小写</w:t>
      </w:r>
      <w:r>
        <w:rPr>
          <w:rFonts w:ascii="宋体" w:hAnsi="宋体" w:cs="宋体"/>
          <w:color w:val="000000" w:themeColor="text1"/>
          <w:szCs w:val="21"/>
          <w:highlight w:val="none"/>
          <w14:textFill>
            <w14:solidFill>
              <w14:schemeClr w14:val="tx1"/>
            </w14:solidFill>
          </w14:textFill>
        </w:rPr>
        <w:t xml:space="preserve">（</w:t>
      </w:r>
      <w:r>
        <w:rPr>
          <w:rFonts w:hint="default" w:ascii="Arial" w:hAnsi="Arial" w:cs="Arial"/>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    元）</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待乙方完成项目清单所列的采购及安装内容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经甲方组织审核验收合格后，由甲方在收到发票后60日内向乙方支付至验收审定金额的90％（即审定金额</w:t>
      </w:r>
      <w:r>
        <w:rPr>
          <w:rFonts w:hint="default" w:ascii="Arial" w:hAnsi="Arial" w:cs="Arial"/>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-已付首付款）。</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待乙方完成</w:t>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14:textFill>
            <w14:solidFill>
              <w14:schemeClr w14:val="tx1"/>
            </w14:solidFill>
          </w14:textFill>
        </w:rPr>
        <w:t xml:space="preserve">且无质量问题遗留并经甲方书面确认后，合同余款（即：验收审定金额扣除前两期支付金额）由甲方在收到发票后60日内向乙方一次性付清。</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付款凭据：</w:t>
      </w:r>
      <w:r/>
    </w:p>
    <w:p>
      <w:pPr>
        <w:ind w:left="2" w:firstLine="47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（1）合格的增值税普通发票</w:t>
      </w:r>
      <w:r>
        <w:rPr>
          <w:rFonts w:hint="eastAsia" w:ascii="宋体" w:hAnsi="宋体" w:cs="宋体"/>
          <w:color w:val="000000" w:themeColor="text1"/>
          <w:szCs w:val="21"/>
          <w:lang w:val="en-US" w:eastAsia="zh-CN"/>
          <w14:textFill>
            <w14:solidFill>
              <w14:schemeClr w14:val="tx1"/>
            </w14:solidFill>
          </w14:textFill>
        </w:rPr>
        <w:t xml:space="preserve">或</w:t>
      </w:r>
      <w:r>
        <w:rPr>
          <w:rFonts w:hint="eastAsia" w:ascii="宋体" w:hAnsi="宋体" w:cs="宋体"/>
          <w:color w:val="000000" w:themeColor="text1"/>
          <w:szCs w:val="21"/>
          <w14:textFill>
            <w14:solidFill>
              <w14:schemeClr w14:val="tx1"/>
            </w14:solidFill>
          </w14:textFill>
        </w:rPr>
        <w:t xml:space="preserve">增值税专用发票。</w:t>
      </w:r>
      <w:r/>
    </w:p>
    <w:p>
      <w:pPr>
        <w:ind w:left="2" w:firstLine="47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甲方盖章签收后的送货</w:t>
      </w:r>
      <w:r>
        <w:rPr>
          <w:rFonts w:hint="eastAsia" w:ascii="宋体" w:hAnsi="宋体" w:cs="宋体"/>
          <w:color w:val="000000" w:themeColor="text1"/>
          <w:szCs w:val="21"/>
          <w:lang w:val="en-US" w:eastAsia="zh-CN"/>
          <w14:textFill>
            <w14:solidFill>
              <w14:schemeClr w14:val="tx1"/>
            </w14:solidFill>
          </w14:textFill>
        </w:rPr>
        <w:t xml:space="preserve">证明</w:t>
      </w:r>
      <w:r>
        <w:rPr>
          <w:rFonts w:hint="eastAsia" w:ascii="宋体" w:hAnsi="宋体" w:cs="宋体"/>
          <w:color w:val="000000" w:themeColor="text1"/>
          <w:szCs w:val="21"/>
          <w:lang w:val="zh-CN"/>
          <w14:textFill>
            <w14:solidFill>
              <w14:schemeClr w14:val="tx1"/>
            </w14:solidFill>
          </w14:textFill>
        </w:rPr>
        <w:t xml:space="preserve">。</w:t>
      </w:r>
      <w:r/>
    </w:p>
    <w:p>
      <w:pPr>
        <w:ind w:left="2" w:firstLine="47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（3）由甲乙双方及招标代理机构盖章的《苏州市政府采购合同履行验收报告》。</w:t>
      </w:r>
      <w:r/>
    </w:p>
    <w:p>
      <w:pPr>
        <w:ind w:left="2" w:firstLine="470"/>
        <w:spacing w:line="360" w:lineRule="auto"/>
        <w:rPr>
          <w:rFonts w:hint="eastAsia" w:ascii="宋体" w:hAnsi="宋体" w:cs="宋体"/>
          <w:szCs w:val="21"/>
        </w:rPr>
      </w:pPr>
      <w:r>
        <w:rPr>
          <w:rFonts w:hint="eastAsia" w:ascii="宋体" w:hAnsi="宋体" w:cs="宋体"/>
          <w:szCs w:val="21"/>
        </w:rPr>
        <w:t xml:space="preserve">3、支付方式：银行转账。</w:t>
      </w:r>
      <w:r/>
    </w:p>
    <w:p>
      <w:pPr>
        <w:ind w:left="2" w:firstLine="470"/>
        <w:spacing w:line="360" w:lineRule="auto"/>
        <w:rPr>
          <w:rFonts w:hint="eastAsia" w:ascii="宋体" w:hAnsi="宋体" w:cs="宋体"/>
          <w:szCs w:val="21"/>
        </w:rPr>
      </w:pPr>
      <w:r>
        <w:rPr>
          <w:rFonts w:hint="eastAsia" w:ascii="宋体" w:hAnsi="宋体" w:cs="宋体"/>
          <w:szCs w:val="21"/>
        </w:rPr>
        <w:t xml:space="preserve">4、乙方货款开户信息：</w:t>
      </w:r>
      <w:r/>
    </w:p>
    <w:p>
      <w:pPr>
        <w:ind w:left="2" w:firstLine="470"/>
        <w:spacing w:line="360" w:lineRule="auto"/>
        <w:rPr>
          <w:rFonts w:hint="eastAsia" w:ascii="宋体" w:hAnsi="宋体" w:cs="宋体"/>
          <w:szCs w:val="21"/>
        </w:rPr>
      </w:pPr>
      <w:r>
        <w:rPr>
          <w:rFonts w:hint="eastAsia" w:ascii="宋体" w:hAnsi="宋体" w:cs="宋体"/>
          <w:szCs w:val="21"/>
        </w:rPr>
        <w:t xml:space="preserve">收款单位：</w:t>
      </w:r>
      <w:r/>
    </w:p>
    <w:p>
      <w:pPr>
        <w:ind w:left="2" w:firstLine="470"/>
        <w:spacing w:line="360" w:lineRule="auto"/>
        <w:rPr>
          <w:rFonts w:hint="eastAsia" w:ascii="宋体" w:hAnsi="宋体" w:cs="宋体"/>
          <w:szCs w:val="21"/>
        </w:rPr>
      </w:pPr>
      <w:r>
        <w:rPr>
          <w:rFonts w:hint="eastAsia" w:ascii="宋体" w:hAnsi="宋体" w:cs="宋体"/>
          <w:szCs w:val="21"/>
        </w:rPr>
        <w:t xml:space="preserve">银行账号：</w:t>
      </w:r>
      <w:r/>
    </w:p>
    <w:p>
      <w:pPr>
        <w:ind w:left="2" w:firstLine="470"/>
        <w:spacing w:line="360" w:lineRule="auto"/>
        <w:rPr>
          <w:rFonts w:hint="eastAsia" w:ascii="宋体" w:hAnsi="宋体" w:cs="宋体"/>
          <w:szCs w:val="21"/>
        </w:rPr>
      </w:pPr>
      <w:r>
        <w:rPr>
          <w:rFonts w:hint="eastAsia" w:ascii="宋体" w:hAnsi="宋体" w:cs="宋体"/>
          <w:szCs w:val="21"/>
        </w:rPr>
        <w:t xml:space="preserve">开户银行：</w:t>
      </w:r>
      <w:r/>
    </w:p>
    <w:p>
      <w:pPr>
        <w:pStyle w:val="679"/>
        <w:rPr>
          <w:rFonts w:hint="eastAsia"/>
        </w:rPr>
      </w:pPr>
      <w:r>
        <w:rPr>
          <w:rFonts w:hint="eastAsia"/>
        </w:rPr>
        <w:t xml:space="preserve">数字人民币账户账号：</w:t>
      </w:r>
      <w:r/>
    </w:p>
    <w:p>
      <w:pPr>
        <w:pStyle w:val="679"/>
        <w:rPr>
          <w:rFonts w:hint="eastAsia"/>
        </w:rPr>
      </w:pPr>
      <w:r>
        <w:rPr>
          <w:rFonts w:hint="eastAsia"/>
        </w:rPr>
        <w:t xml:space="preserve">数字人民币开户行：</w:t>
      </w:r>
      <w:r/>
    </w:p>
    <w:p>
      <w:pPr>
        <w:ind w:firstLine="420"/>
        <w:spacing w:line="360" w:lineRule="auto"/>
        <w:rPr>
          <w:rFonts w:hint="eastAsia"/>
        </w:rPr>
      </w:pPr>
      <w:r>
        <w:rPr>
          <w:rFonts w:hint="eastAsia"/>
        </w:rPr>
        <w:t xml:space="preserve">上述信息为乙方指定的接受甲方付款的账户信息。如乙方银行账户或付款方式需变更，乙方应于付款期限届满前10个工作日书面通知甲方，否则产生的一切责任、因变更引起的额外费用由乙方承担。乙方知悉并同意甲方可能通过数字人民币支付款项。</w:t>
      </w:r>
      <w:r/>
    </w:p>
    <w:p>
      <w:pPr>
        <w:ind w:left="2" w:firstLine="420"/>
        <w:spacing w:line="360" w:lineRule="auto"/>
        <w:rPr>
          <w:rFonts w:hint="eastAsia"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三、质量保证</w:t>
      </w:r>
      <w:r/>
    </w:p>
    <w:p>
      <w:pPr>
        <w:ind w:left="2" w:firstLine="470"/>
        <w:spacing w:line="360" w:lineRule="auto"/>
        <w:rPr>
          <w:rFonts w:hint="eastAsia" w:ascii="宋体" w:hAnsi="宋体" w:cs="宋体"/>
          <w:szCs w:val="21"/>
        </w:rPr>
      </w:pPr>
      <w:r>
        <w:rPr>
          <w:rFonts w:hint="eastAsia" w:ascii="宋体" w:hAnsi="宋体" w:cs="宋体"/>
          <w:szCs w:val="21"/>
        </w:rPr>
        <w:t xml:space="preserve">1、乙方应保证所提供的标的物是全新的、未使用过的，并且是非长期</w:t>
      </w:r>
      <w:r>
        <w:rPr>
          <w:rFonts w:hint="eastAsia" w:ascii="宋体" w:hAnsi="宋体" w:cs="宋体"/>
          <w:szCs w:val="21"/>
        </w:rPr>
        <w:t xml:space="preserve">积压的库存商品，完全符合合同规定的质量、规格和性能和甲方使用的要求，同时还应当符合国家、地区或行业相关标准或要求（就高）。乙方应保证其提供的标的物在正确安装、正常使用和保养条件下，在其标称的使用寿命期内应具有满意的性能。在乙方承诺的质量保证期限内（该乙方承诺质量保证期如果短于本合同约定质保期的，以质保期为准，如长于质保期的，以乙方承诺为准），无论是否验收通过，乙方应对由于设计、工艺或材料的缺陷及伴随服务而造成的任何不足或故障负责。标的物质量出现问题，乙方应负责包修、包退、包换，由此产生的一切费用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2、根据甲方检验结果，或者在质量保证期内，如果标的物的数量、质量或规格与合同不符或证实标的物是有缺陷的，包括潜在缺陷或使用不符合要求的材料等，甲方应尽快以书面形式通知乙方并提出索赔。</w:t>
      </w:r>
      <w:r/>
    </w:p>
    <w:p>
      <w:pPr>
        <w:ind w:left="2" w:firstLine="470"/>
        <w:spacing w:line="360" w:lineRule="auto"/>
        <w:rPr>
          <w:rFonts w:hint="eastAsia" w:ascii="宋体" w:hAnsi="宋体" w:cs="宋体"/>
          <w:szCs w:val="21"/>
        </w:rPr>
      </w:pPr>
      <w:r>
        <w:rPr>
          <w:rFonts w:hint="eastAsia" w:ascii="宋体" w:hAnsi="宋体" w:cs="宋体"/>
          <w:szCs w:val="21"/>
        </w:rPr>
        <w:t xml:space="preserve">3、除特别约定外，合同条款中标的物的质量保证期均自标的物通过最终验收之日起计算。</w:t>
      </w:r>
      <w:r/>
    </w:p>
    <w:p>
      <w:pPr>
        <w:ind w:left="2" w:firstLine="470"/>
        <w:spacing w:line="360" w:lineRule="auto"/>
        <w:rPr>
          <w:rFonts w:hint="eastAsia" w:ascii="宋体" w:hAnsi="宋体" w:cs="宋体"/>
          <w:szCs w:val="21"/>
        </w:rPr>
      </w:pPr>
      <w:r>
        <w:rPr>
          <w:rFonts w:hint="eastAsia" w:ascii="宋体" w:hAnsi="宋体" w:cs="宋体"/>
          <w:szCs w:val="21"/>
        </w:rPr>
        <w:t xml:space="preserve">4、乙方保证向甲方交付的货物必须无权利瑕疵，不存在任何第三人可向交付货物主张任何权利，包括但不限于所有权、知识产权等，否则视为乙方不能交货，甲方有权解除合同并按照本合同第十条违约责任。</w:t>
      </w:r>
      <w:r>
        <w:rPr>
          <w:rFonts w:ascii="宋体" w:hAnsi="宋体" w:cs="宋体"/>
          <w:szCs w:val="21"/>
        </w:rPr>
        <w:t xml:space="preserve">乙方保证本合同项下的产品及其相关的材料、零件和技术工艺不侵犯任何第三方的知识产权，并保证甲方以及其关联公司、分支机构、客户以及继任者和受让者不受任何索赔、损失的损害，并对受保护方直接或间接因使用、制造、销售或者许可乙方的产品对第三方知识产权侵权而遭受指控造成的一切损失和费用（包括但不限于索赔款项、律师费、差旅费等）承担赔偿责任。</w:t>
      </w:r>
      <w:r/>
    </w:p>
    <w:p>
      <w:pPr>
        <w:ind w:left="2" w:firstLine="470"/>
        <w:spacing w:line="360" w:lineRule="auto"/>
        <w:rPr>
          <w:rFonts w:hint="eastAsia" w:ascii="宋体" w:hAnsi="宋体" w:cs="宋体"/>
          <w:szCs w:val="21"/>
        </w:rPr>
      </w:pPr>
      <w:r>
        <w:rPr>
          <w:rFonts w:hint="eastAsia" w:ascii="宋体" w:hAnsi="宋体" w:cs="宋体"/>
          <w:szCs w:val="21"/>
        </w:rPr>
        <w:t xml:space="preserve">5、乙方违约的，甲方有权向乙方追究违约责任。</w:t>
      </w:r>
      <w:r/>
    </w:p>
    <w:p>
      <w:pPr>
        <w:ind w:left="2" w:firstLine="470"/>
        <w:spacing w:line="360" w:lineRule="auto"/>
        <w:rPr>
          <w:rFonts w:hint="eastAsia" w:ascii="宋体" w:hAnsi="宋体" w:cs="宋体"/>
          <w:szCs w:val="21"/>
        </w:rPr>
      </w:pPr>
      <w:r>
        <w:rPr>
          <w:rFonts w:hint="eastAsia" w:ascii="宋体" w:hAnsi="宋体" w:cs="宋体"/>
          <w:szCs w:val="21"/>
        </w:rPr>
        <w:t xml:space="preserve">四、包装</w:t>
      </w:r>
      <w:r/>
    </w:p>
    <w:p>
      <w:pPr>
        <w:ind w:left="2" w:firstLine="470"/>
        <w:spacing w:line="360" w:lineRule="auto"/>
        <w:rPr>
          <w:rFonts w:hint="eastAsia" w:ascii="宋体" w:hAnsi="宋体" w:cs="宋体"/>
          <w:szCs w:val="21"/>
        </w:rPr>
      </w:pPr>
      <w:r>
        <w:rPr>
          <w:rFonts w:hint="eastAsia" w:ascii="宋体" w:hAnsi="宋体" w:cs="宋体"/>
          <w:szCs w:val="21"/>
        </w:rPr>
        <w:t xml:space="preserve">乙方提供的设备必须为原厂包装，在送交甲方验收前不得擅自拆箱。</w:t>
      </w:r>
      <w:r/>
    </w:p>
    <w:p>
      <w:pPr>
        <w:ind w:left="2" w:firstLine="470"/>
        <w:spacing w:line="360" w:lineRule="auto"/>
        <w:rPr>
          <w:rFonts w:hint="eastAsia" w:ascii="宋体" w:hAnsi="宋体" w:cs="宋体"/>
          <w:szCs w:val="21"/>
        </w:rPr>
      </w:pPr>
      <w:r>
        <w:rPr>
          <w:rFonts w:hint="eastAsia" w:ascii="宋体" w:hAnsi="宋体" w:cs="宋体"/>
          <w:szCs w:val="21"/>
        </w:rPr>
        <w:t xml:space="preserve">五、标的物交付</w:t>
      </w:r>
      <w:r/>
    </w:p>
    <w:p>
      <w:pPr>
        <w:ind w:left="2" w:firstLine="470"/>
        <w:spacing w:line="360" w:lineRule="auto"/>
        <w:rPr>
          <w:rFonts w:hint="eastAsia" w:ascii="宋体" w:hAnsi="宋体" w:cs="宋体"/>
          <w:szCs w:val="21"/>
        </w:rPr>
      </w:pPr>
      <w:r>
        <w:rPr>
          <w:rFonts w:hint="eastAsia" w:ascii="宋体" w:hAnsi="宋体" w:cs="宋体"/>
          <w:szCs w:val="21"/>
        </w:rPr>
        <w:t xml:space="preserve">1、标的物的所有权自项目验收合格后整体交付时转移，在此之前货物由甲方保管并承担毁损灭失的风险。</w:t>
      </w:r>
      <w:r/>
    </w:p>
    <w:p>
      <w:pPr>
        <w:ind w:left="2" w:firstLine="470"/>
        <w:spacing w:line="360" w:lineRule="auto"/>
        <w:rPr>
          <w:rFonts w:hint="eastAsia" w:ascii="宋体" w:hAnsi="宋体" w:cs="宋体"/>
          <w:szCs w:val="21"/>
        </w:rPr>
      </w:pPr>
      <w:r>
        <w:rPr>
          <w:rFonts w:hint="eastAsia" w:ascii="宋体" w:hAnsi="宋体" w:cs="宋体"/>
          <w:szCs w:val="21"/>
        </w:rPr>
        <w:t xml:space="preserve">2、乙方应当按照约定的期限和约定的地点交付标的物。</w:t>
      </w:r>
      <w:r/>
    </w:p>
    <w:p>
      <w:pPr>
        <w:ind w:left="2" w:firstLine="470"/>
        <w:spacing w:line="360" w:lineRule="auto"/>
        <w:rPr>
          <w:rFonts w:hint="eastAsia" w:ascii="宋体" w:hAnsi="宋体" w:cs="宋体"/>
          <w:szCs w:val="21"/>
        </w:rPr>
      </w:pPr>
      <w:r>
        <w:rPr>
          <w:rFonts w:hint="eastAsia" w:ascii="宋体" w:hAnsi="宋体" w:cs="宋体"/>
          <w:szCs w:val="21"/>
        </w:rPr>
        <w:t xml:space="preserve">3、乙方应当按照约定或者交易习惯向甲方交付提取标的物单证以外的有关单证和资料。</w:t>
      </w:r>
      <w:r/>
    </w:p>
    <w:p>
      <w:pPr>
        <w:ind w:left="2" w:firstLine="470"/>
        <w:spacing w:line="360" w:lineRule="auto"/>
        <w:rPr>
          <w:rFonts w:hint="eastAsia" w:ascii="宋体" w:hAnsi="宋体" w:cs="宋体"/>
          <w:szCs w:val="21"/>
        </w:rPr>
      </w:pPr>
      <w:r>
        <w:rPr>
          <w:rFonts w:hint="eastAsia" w:ascii="宋体" w:hAnsi="宋体" w:cs="宋体"/>
          <w:szCs w:val="21"/>
        </w:rPr>
        <w:t xml:space="preserve">4、乙方交付货物不符合合同约定，包括但不限于交付时间、地点、质量等，甲方有权拒收货物，因此造成的交货逾期责任由乙方按照合同约定承担。</w:t>
      </w:r>
      <w:r/>
    </w:p>
    <w:p>
      <w:pPr>
        <w:ind w:left="2" w:firstLine="470"/>
        <w:spacing w:line="360" w:lineRule="auto"/>
        <w:rPr>
          <w:rFonts w:hint="eastAsia" w:ascii="宋体" w:hAnsi="宋体" w:cs="宋体"/>
          <w:szCs w:val="21"/>
        </w:rPr>
      </w:pPr>
      <w:r>
        <w:rPr>
          <w:rFonts w:hint="eastAsia" w:ascii="宋体" w:hAnsi="宋体" w:cs="宋体"/>
          <w:szCs w:val="21"/>
        </w:rPr>
        <w:t xml:space="preserve">5、完工期限和交付地点：</w:t>
      </w:r>
      <w:r/>
    </w:p>
    <w:p>
      <w:pPr>
        <w:ind w:left="2" w:firstLine="470"/>
        <w:spacing w:line="360" w:lineRule="auto"/>
        <w:rPr>
          <w:rFonts w:hint="eastAsia" w:ascii="宋体" w:hAnsi="宋体" w:cs="宋体"/>
          <w:szCs w:val="21"/>
        </w:rPr>
      </w:pPr>
      <w:r>
        <w:rPr>
          <w:rFonts w:hint="eastAsia" w:ascii="宋体" w:hAnsi="宋体" w:cs="宋体"/>
          <w:szCs w:val="21"/>
        </w:rPr>
        <w:t xml:space="preserve">（1）完工期限</w:t>
      </w:r>
      <w:r>
        <w:rPr>
          <w:rFonts w:hint="eastAsia" w:ascii="宋体" w:hAnsi="宋体" w:cs="宋体"/>
          <w:color w:val="000000" w:themeColor="text1"/>
          <w:szCs w:val="21"/>
          <w14:textFill>
            <w14:solidFill>
              <w14:schemeClr w14:val="tx1"/>
            </w14:solidFill>
          </w14:textFill>
        </w:rPr>
        <w:t xml:space="preserve">：</w:t>
      </w:r>
      <w:r>
        <w:rPr>
          <w:rFonts w:hint="eastAsia" w:hAnsi="宋体" w:cs="宋体"/>
          <w:color w:val="000000" w:themeColor="text1"/>
          <w:szCs w:val="21"/>
          <w14:textFill>
            <w14:solidFill>
              <w14:schemeClr w14:val="tx1"/>
            </w14:solidFill>
          </w14:textFill>
        </w:rPr>
        <w:t xml:space="preserve">合同签订之日起3个月内完成交货、安装及调试。（具体根据采购单位要求为准）。</w:t>
      </w:r>
      <w:r/>
    </w:p>
    <w:p>
      <w:pPr>
        <w:ind w:left="2" w:firstLine="470"/>
        <w:spacing w:line="360" w:lineRule="auto"/>
        <w:rPr>
          <w:rFonts w:hint="eastAsia" w:ascii="宋体" w:hAnsi="宋体" w:cs="宋体"/>
          <w:szCs w:val="21"/>
        </w:rPr>
      </w:pPr>
      <w:r>
        <w:rPr>
          <w:rFonts w:hint="eastAsia" w:ascii="宋体" w:hAnsi="宋体" w:cs="宋体"/>
          <w:szCs w:val="21"/>
        </w:rPr>
        <w:t xml:space="preserve">（2）交付地点：具体位置由甲方指定。</w:t>
      </w:r>
      <w:r/>
    </w:p>
    <w:p>
      <w:pPr>
        <w:ind w:left="2" w:firstLine="470"/>
        <w:spacing w:line="360" w:lineRule="auto"/>
        <w:rPr>
          <w:rFonts w:hint="eastAsia" w:ascii="宋体" w:hAnsi="宋体" w:cs="宋体"/>
          <w:szCs w:val="21"/>
        </w:rPr>
      </w:pPr>
      <w:r>
        <w:rPr>
          <w:rFonts w:hint="eastAsia" w:ascii="宋体" w:hAnsi="宋体" w:cs="宋体"/>
          <w:szCs w:val="21"/>
        </w:rPr>
        <w:t xml:space="preserve">（3）交付方式：现实交付。</w:t>
      </w:r>
      <w:r/>
    </w:p>
    <w:p>
      <w:pPr>
        <w:ind w:left="2" w:firstLine="470"/>
        <w:spacing w:line="360" w:lineRule="auto"/>
        <w:rPr>
          <w:rFonts w:hint="eastAsia" w:ascii="宋体" w:hAnsi="宋体" w:cs="宋体"/>
          <w:szCs w:val="21"/>
        </w:rPr>
      </w:pPr>
      <w:r>
        <w:rPr>
          <w:rFonts w:hint="eastAsia" w:ascii="宋体" w:hAnsi="宋体" w:cs="宋体"/>
          <w:szCs w:val="21"/>
        </w:rPr>
        <w:t xml:space="preserve">六、标的物的验收</w:t>
      </w:r>
      <w:r/>
    </w:p>
    <w:p>
      <w:pPr>
        <w:ind w:firstLine="422"/>
        <w:spacing w:line="360" w:lineRule="auto"/>
        <w:rPr>
          <w:rFonts w:hint="eastAsia" w:ascii="宋体" w:hAnsi="宋体"/>
          <w:bCs/>
          <w:szCs w:val="21"/>
        </w:rPr>
        <w:outlineLvl w:val="1"/>
      </w:pPr>
      <w:r>
        <w:rPr>
          <w:rFonts w:hint="eastAsia" w:ascii="宋体" w:hAnsi="宋体"/>
          <w:bCs/>
          <w:szCs w:val="21"/>
        </w:rPr>
        <w:t xml:space="preserve">1、项目完成后，中标供应商须负责全部设备的保护和清洁工作，直至设备验收合格，交付招标人之日为止。</w:t>
      </w:r>
      <w:r/>
    </w:p>
    <w:p>
      <w:pPr>
        <w:ind w:firstLine="422"/>
        <w:spacing w:line="360" w:lineRule="auto"/>
        <w:rPr>
          <w:rFonts w:hint="eastAsia" w:ascii="宋体" w:hAnsi="宋体"/>
          <w:bCs/>
          <w:szCs w:val="21"/>
        </w:rPr>
        <w:outlineLvl w:val="1"/>
      </w:pPr>
      <w:r>
        <w:rPr>
          <w:rFonts w:hint="eastAsia" w:ascii="宋体" w:hAnsi="宋体"/>
          <w:bCs/>
          <w:szCs w:val="21"/>
        </w:rPr>
        <w:t xml:space="preserve">2、验收结果符合国家强制性规定及本项目合同约定的产品标准和技术规格书:</w:t>
      </w:r>
      <w:r/>
    </w:p>
    <w:p>
      <w:pPr>
        <w:ind w:firstLine="422"/>
        <w:spacing w:line="360" w:lineRule="auto"/>
        <w:rPr>
          <w:rFonts w:hint="eastAsia" w:ascii="宋体" w:hAnsi="宋体"/>
          <w:bCs/>
          <w:szCs w:val="21"/>
        </w:rPr>
        <w:outlineLvl w:val="1"/>
      </w:pPr>
      <w:r>
        <w:rPr>
          <w:rFonts w:hint="eastAsia" w:ascii="宋体" w:hAnsi="宋体"/>
          <w:bCs/>
          <w:szCs w:val="21"/>
        </w:rPr>
        <w:t xml:space="preserve">3、具体履行验收方案:</w:t>
      </w:r>
      <w:r/>
    </w:p>
    <w:p>
      <w:pPr>
        <w:ind w:firstLine="422"/>
        <w:spacing w:line="360" w:lineRule="auto"/>
        <w:rPr>
          <w:rFonts w:hint="eastAsia" w:ascii="宋体" w:hAnsi="宋体"/>
          <w:bCs/>
          <w:szCs w:val="21"/>
        </w:rPr>
        <w:outlineLvl w:val="1"/>
      </w:pPr>
      <w:r>
        <w:rPr>
          <w:rFonts w:hint="eastAsia" w:ascii="宋体" w:hAnsi="宋体"/>
          <w:bCs/>
          <w:szCs w:val="21"/>
        </w:rPr>
        <w:t xml:space="preserve">（1）组织验收团队</w:t>
      </w:r>
      <w:r/>
    </w:p>
    <w:p>
      <w:pPr>
        <w:ind w:firstLine="422"/>
        <w:spacing w:line="360" w:lineRule="auto"/>
        <w:rPr>
          <w:rFonts w:hint="eastAsia" w:ascii="宋体" w:hAnsi="宋体"/>
          <w:bCs/>
          <w:szCs w:val="21"/>
        </w:rPr>
        <w:outlineLvl w:val="1"/>
      </w:pPr>
      <w:r>
        <w:rPr>
          <w:rFonts w:hint="eastAsia" w:ascii="宋体" w:hAnsi="宋体"/>
          <w:bCs/>
          <w:szCs w:val="21"/>
        </w:rPr>
        <w:t xml:space="preserve">确定验收小组，具体团队组成人员按项目实际情况为准</w:t>
      </w:r>
      <w:r/>
    </w:p>
    <w:p>
      <w:pPr>
        <w:ind w:firstLine="422"/>
        <w:spacing w:line="360" w:lineRule="auto"/>
        <w:rPr>
          <w:rFonts w:hint="eastAsia" w:ascii="宋体" w:hAnsi="宋体"/>
          <w:bCs/>
          <w:szCs w:val="21"/>
        </w:rPr>
        <w:outlineLvl w:val="1"/>
      </w:pPr>
      <w:r>
        <w:rPr>
          <w:rFonts w:hint="eastAsia" w:ascii="宋体" w:hAnsi="宋体"/>
          <w:bCs/>
          <w:szCs w:val="21"/>
        </w:rPr>
        <w:t xml:space="preserve">4、交货清单审核</w:t>
      </w:r>
      <w:r/>
    </w:p>
    <w:p>
      <w:pPr>
        <w:ind w:firstLine="422"/>
        <w:spacing w:line="360" w:lineRule="auto"/>
        <w:rPr>
          <w:rFonts w:hint="eastAsia" w:ascii="宋体" w:hAnsi="宋体"/>
          <w:bCs/>
          <w:szCs w:val="21"/>
        </w:rPr>
        <w:outlineLvl w:val="1"/>
      </w:pPr>
      <w:r>
        <w:rPr>
          <w:rFonts w:hint="eastAsia" w:ascii="宋体" w:hAnsi="宋体"/>
          <w:bCs/>
          <w:szCs w:val="21"/>
        </w:rPr>
        <w:t xml:space="preserve">核对采购合同中的设备型号、数量及技术指标;</w:t>
      </w:r>
      <w:r/>
    </w:p>
    <w:p>
      <w:pPr>
        <w:ind w:firstLine="422"/>
        <w:spacing w:line="360" w:lineRule="auto"/>
        <w:rPr>
          <w:rFonts w:hint="eastAsia" w:ascii="宋体" w:hAnsi="宋体"/>
          <w:bCs/>
          <w:szCs w:val="21"/>
        </w:rPr>
        <w:outlineLvl w:val="1"/>
      </w:pPr>
      <w:r>
        <w:rPr>
          <w:rFonts w:hint="eastAsia" w:ascii="宋体" w:hAnsi="宋体"/>
          <w:bCs/>
          <w:szCs w:val="21"/>
        </w:rPr>
        <w:t xml:space="preserve">检查产品说明书、出厂检测报告及3C认证文件;(若产品涉及)</w:t>
      </w:r>
      <w:r/>
    </w:p>
    <w:p>
      <w:pPr>
        <w:ind w:firstLine="422"/>
        <w:spacing w:line="360" w:lineRule="auto"/>
        <w:rPr>
          <w:rFonts w:hint="eastAsia" w:ascii="宋体" w:hAnsi="宋体"/>
          <w:bCs/>
          <w:szCs w:val="21"/>
        </w:rPr>
        <w:outlineLvl w:val="1"/>
      </w:pPr>
      <w:r>
        <w:rPr>
          <w:rFonts w:hint="eastAsia" w:ascii="宋体" w:hAnsi="宋体"/>
          <w:bCs/>
          <w:szCs w:val="21"/>
        </w:rPr>
        <w:t xml:space="preserve">确认售后服务是否符合行业标准</w:t>
      </w:r>
      <w:r/>
    </w:p>
    <w:p>
      <w:pPr>
        <w:ind w:firstLine="422"/>
        <w:spacing w:line="360" w:lineRule="auto"/>
        <w:rPr>
          <w:rFonts w:hint="eastAsia" w:ascii="宋体" w:hAnsi="宋体"/>
          <w:bCs/>
          <w:szCs w:val="21"/>
        </w:rPr>
        <w:outlineLvl w:val="1"/>
      </w:pPr>
      <w:r>
        <w:rPr>
          <w:rFonts w:hint="eastAsia" w:ascii="宋体" w:hAnsi="宋体"/>
          <w:bCs/>
          <w:szCs w:val="21"/>
        </w:rPr>
        <w:t xml:space="preserve">5、各环节验收程序</w:t>
      </w:r>
      <w:r/>
    </w:p>
    <w:p>
      <w:pPr>
        <w:ind w:firstLine="422"/>
        <w:spacing w:line="360" w:lineRule="auto"/>
        <w:rPr>
          <w:rFonts w:hint="eastAsia" w:ascii="宋体" w:hAnsi="宋体"/>
          <w:bCs/>
          <w:szCs w:val="21"/>
        </w:rPr>
        <w:outlineLvl w:val="1"/>
      </w:pPr>
      <w:r>
        <w:rPr>
          <w:rFonts w:hint="eastAsia" w:ascii="宋体" w:hAnsi="宋体"/>
          <w:bCs/>
          <w:szCs w:val="21"/>
        </w:rPr>
        <w:t xml:space="preserve">（1）到货初验</w:t>
      </w:r>
      <w:r/>
    </w:p>
    <w:p>
      <w:pPr>
        <w:ind w:firstLine="422"/>
        <w:spacing w:line="360" w:lineRule="auto"/>
        <w:rPr>
          <w:rFonts w:hint="eastAsia" w:ascii="宋体" w:hAnsi="宋体"/>
          <w:bCs/>
          <w:szCs w:val="21"/>
        </w:rPr>
        <w:outlineLvl w:val="1"/>
      </w:pPr>
      <w:r>
        <w:rPr>
          <w:rFonts w:hint="eastAsia" w:ascii="宋体" w:hAnsi="宋体"/>
          <w:bCs/>
          <w:szCs w:val="21"/>
        </w:rPr>
        <w:t xml:space="preserve">外观检查:设备无运输损伤，标识清晰，配件齐全包装核验:型号与合同一致，防拆封标签完好</w:t>
      </w:r>
      <w:r/>
    </w:p>
    <w:p>
      <w:pPr>
        <w:ind w:firstLine="422"/>
        <w:spacing w:line="360" w:lineRule="auto"/>
        <w:rPr>
          <w:rFonts w:hint="eastAsia" w:ascii="宋体" w:hAnsi="宋体"/>
          <w:bCs/>
          <w:szCs w:val="21"/>
        </w:rPr>
        <w:outlineLvl w:val="1"/>
      </w:pPr>
      <w:r>
        <w:rPr>
          <w:rFonts w:hint="eastAsia" w:ascii="宋体" w:hAnsi="宋体"/>
          <w:bCs/>
          <w:szCs w:val="21"/>
        </w:rPr>
        <w:t xml:space="preserve">（2）安装调试验收</w:t>
      </w:r>
      <w:r/>
    </w:p>
    <w:p>
      <w:pPr>
        <w:ind w:firstLine="422"/>
        <w:spacing w:line="360" w:lineRule="auto"/>
        <w:rPr>
          <w:rFonts w:hint="eastAsia" w:ascii="宋体" w:hAnsi="宋体"/>
          <w:bCs/>
          <w:szCs w:val="21"/>
        </w:rPr>
        <w:outlineLvl w:val="1"/>
      </w:pPr>
      <w:r>
        <w:rPr>
          <w:rFonts w:hint="eastAsia" w:ascii="宋体" w:hAnsi="宋体"/>
          <w:bCs/>
          <w:szCs w:val="21"/>
        </w:rPr>
        <w:t xml:space="preserve">安装合规性:支架牢固度、线缆布设符合安全规范</w:t>
      </w:r>
      <w:r/>
    </w:p>
    <w:p>
      <w:pPr>
        <w:ind w:firstLine="422"/>
        <w:spacing w:line="360" w:lineRule="auto"/>
        <w:rPr>
          <w:rFonts w:hint="eastAsia" w:ascii="宋体" w:hAnsi="宋体"/>
          <w:bCs/>
          <w:szCs w:val="21"/>
        </w:rPr>
        <w:outlineLvl w:val="1"/>
      </w:pPr>
      <w:r>
        <w:rPr>
          <w:rFonts w:hint="eastAsia" w:ascii="宋体" w:hAnsi="宋体"/>
          <w:bCs/>
          <w:szCs w:val="21"/>
        </w:rPr>
        <w:t xml:space="preserve">（3）功能测试:</w:t>
      </w:r>
      <w:r/>
    </w:p>
    <w:p>
      <w:pPr>
        <w:ind w:firstLine="422"/>
        <w:spacing w:line="360" w:lineRule="auto"/>
        <w:rPr>
          <w:rFonts w:hint="eastAsia" w:ascii="宋体" w:hAnsi="宋体"/>
          <w:bCs/>
          <w:szCs w:val="21"/>
        </w:rPr>
        <w:outlineLvl w:val="1"/>
      </w:pPr>
      <w:r>
        <w:rPr>
          <w:rFonts w:hint="eastAsia" w:ascii="宋体" w:hAnsi="宋体"/>
          <w:bCs/>
          <w:szCs w:val="21"/>
        </w:rPr>
        <w:t xml:space="preserve">根据采购产品结合国家标准制定相关功能测试要求</w:t>
      </w:r>
      <w:r/>
    </w:p>
    <w:p>
      <w:pPr>
        <w:ind w:firstLine="422"/>
        <w:spacing w:line="360" w:lineRule="auto"/>
        <w:rPr>
          <w:rFonts w:hint="eastAsia" w:ascii="宋体" w:hAnsi="宋体"/>
          <w:bCs/>
          <w:szCs w:val="21"/>
        </w:rPr>
        <w:outlineLvl w:val="1"/>
      </w:pPr>
      <w:r>
        <w:rPr>
          <w:rFonts w:hint="eastAsia" w:ascii="宋体" w:hAnsi="宋体"/>
          <w:bCs/>
          <w:szCs w:val="21"/>
        </w:rPr>
        <w:t xml:space="preserve">（4）性能达标验收</w:t>
      </w:r>
      <w:r/>
    </w:p>
    <w:p>
      <w:pPr>
        <w:ind w:firstLine="422"/>
        <w:spacing w:line="360" w:lineRule="auto"/>
        <w:rPr>
          <w:rFonts w:hint="eastAsia" w:ascii="宋体" w:hAnsi="宋体"/>
          <w:bCs/>
          <w:szCs w:val="21"/>
        </w:rPr>
        <w:outlineLvl w:val="1"/>
      </w:pPr>
      <w:r>
        <w:rPr>
          <w:rFonts w:hint="eastAsia" w:ascii="宋体" w:hAnsi="宋体"/>
          <w:bCs/>
          <w:szCs w:val="21"/>
        </w:rPr>
        <w:t xml:space="preserve">关键指标检验、覆盖测试(若有需要，可以组织专家验收或安排第三方检测机构出具检测报告)</w:t>
      </w:r>
      <w:r/>
    </w:p>
    <w:p>
      <w:pPr>
        <w:ind w:firstLine="422"/>
        <w:spacing w:line="360" w:lineRule="auto"/>
        <w:rPr>
          <w:rFonts w:hint="eastAsia" w:ascii="宋体" w:hAnsi="宋体"/>
          <w:bCs/>
          <w:szCs w:val="21"/>
        </w:rPr>
        <w:outlineLvl w:val="1"/>
      </w:pPr>
      <w:r>
        <w:rPr>
          <w:rFonts w:hint="eastAsia" w:ascii="宋体" w:hAnsi="宋体"/>
          <w:bCs/>
          <w:szCs w:val="21"/>
        </w:rPr>
        <w:t xml:space="preserve">（5）争议处理机制</w:t>
      </w:r>
      <w:r/>
    </w:p>
    <w:p>
      <w:pPr>
        <w:ind w:firstLine="422"/>
        <w:spacing w:line="360" w:lineRule="auto"/>
        <w:rPr>
          <w:rFonts w:hint="eastAsia" w:ascii="宋体" w:hAnsi="宋体"/>
          <w:bCs/>
          <w:szCs w:val="21"/>
        </w:rPr>
        <w:outlineLvl w:val="1"/>
      </w:pPr>
      <w:r>
        <w:rPr>
          <w:rFonts w:hint="eastAsia" w:ascii="宋体" w:hAnsi="宋体"/>
          <w:bCs/>
          <w:szCs w:val="21"/>
        </w:rPr>
        <w:t xml:space="preserve">若验收过程中发现不符合要求需要整改的情况，接到通知后的响应时间为30分钟，安排的维修人员在4小时内赶到现场，一般故障1小时内解决，现场解决不了的重大故障，须从故障报修的当天起计，3个日历天内解决。</w:t>
      </w:r>
      <w:r/>
    </w:p>
    <w:p>
      <w:pPr>
        <w:ind w:firstLine="422"/>
        <w:spacing w:line="360" w:lineRule="auto"/>
        <w:rPr>
          <w:rFonts w:ascii="宋体" w:hAnsi="宋体"/>
          <w:bCs/>
          <w:szCs w:val="21"/>
        </w:rPr>
        <w:outlineLvl w:val="1"/>
      </w:pPr>
      <w:r>
        <w:rPr>
          <w:rFonts w:hint="eastAsia" w:ascii="宋体" w:hAnsi="宋体"/>
          <w:bCs/>
          <w:szCs w:val="21"/>
        </w:rPr>
        <w:t xml:space="preserve">终验文件:最终验收合格的需要签署《最终验收报告》，作为付款和最终验收依据。签署验收报告后进入质保期。</w:t>
      </w:r>
      <w:r/>
    </w:p>
    <w:p>
      <w:pPr>
        <w:pStyle w:val="679"/>
        <w:spacing w:line="360" w:lineRule="auto"/>
        <w:rPr>
          <w:rFonts w:hint="eastAsia" w:ascii="宋体" w:hAnsi="宋体"/>
          <w:bCs/>
          <w:szCs w:val="21"/>
        </w:rPr>
        <w:outlineLvl w:val="1"/>
      </w:pPr>
      <w:r>
        <w:rPr>
          <w:rFonts w:hint="eastAsia"/>
        </w:rPr>
        <w:t xml:space="preserve">6、质保期：自最终验收报告签署之日起，起算【</w:t>
      </w:r>
      <w:r>
        <w:rPr>
          <w:rFonts w:hint="eastAsia"/>
          <w:lang w:val="en-US" w:eastAsia="zh-CN"/>
        </w:rPr>
        <w:t xml:space="preserve">1</w:t>
      </w:r>
      <w:r>
        <w:rPr>
          <w:rFonts w:hint="eastAsia"/>
        </w:rPr>
        <w:t xml:space="preserve">】年，如有退换产品，应自退换完成甲方确认退换货物安装调试验收合格后起算。</w:t>
      </w:r>
      <w:r/>
    </w:p>
    <w:p>
      <w:pPr>
        <w:ind w:left="2" w:firstLine="470"/>
        <w:spacing w:line="360" w:lineRule="auto"/>
        <w:rPr>
          <w:rFonts w:hint="eastAsia" w:ascii="宋体" w:hAnsi="宋体" w:cs="宋体"/>
          <w:szCs w:val="21"/>
        </w:rPr>
      </w:pPr>
      <w:r>
        <w:rPr>
          <w:rFonts w:hint="eastAsia" w:ascii="宋体" w:hAnsi="宋体" w:cs="宋体"/>
          <w:szCs w:val="21"/>
        </w:rPr>
        <w:t xml:space="preserve">七、对标的物提出异议的时间和办法</w:t>
      </w:r>
      <w:r/>
    </w:p>
    <w:p>
      <w:pPr>
        <w:ind w:left="2" w:firstLine="470"/>
        <w:spacing w:line="360" w:lineRule="auto"/>
        <w:rPr>
          <w:rFonts w:hint="eastAsia" w:ascii="宋体" w:hAnsi="宋体" w:cs="宋体"/>
          <w:szCs w:val="21"/>
        </w:rPr>
      </w:pPr>
      <w:r>
        <w:rPr>
          <w:rFonts w:hint="eastAsia" w:ascii="宋体" w:hAnsi="宋体" w:cs="宋体"/>
          <w:szCs w:val="21"/>
        </w:rPr>
        <w:t xml:space="preserve">1、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ind w:left="2" w:firstLine="470"/>
        <w:spacing w:line="360" w:lineRule="auto"/>
        <w:rPr>
          <w:rFonts w:hint="eastAsia" w:ascii="宋体" w:hAnsi="宋体" w:cs="宋体"/>
          <w:szCs w:val="21"/>
        </w:rPr>
      </w:pPr>
      <w:r>
        <w:rPr>
          <w:rFonts w:hint="eastAsia" w:ascii="宋体" w:hAnsi="宋体" w:cs="宋体"/>
          <w:szCs w:val="21"/>
        </w:rPr>
        <w:t xml:space="preserve">2、乙方应在收到甲方书面异议后七天内负责处理问题，否则将视为默认甲方提出的异议和处理意见。</w:t>
      </w:r>
      <w:r/>
    </w:p>
    <w:p>
      <w:pPr>
        <w:ind w:left="2" w:firstLine="470"/>
        <w:spacing w:line="360" w:lineRule="auto"/>
        <w:rPr>
          <w:rFonts w:hint="eastAsia" w:ascii="宋体" w:hAnsi="宋体" w:cs="宋体"/>
          <w:szCs w:val="21"/>
        </w:rPr>
      </w:pPr>
      <w:r>
        <w:rPr>
          <w:rFonts w:hint="eastAsia" w:ascii="宋体" w:hAnsi="宋体" w:cs="宋体"/>
          <w:szCs w:val="21"/>
        </w:rPr>
        <w:t xml:space="preserve">八、售后服务</w:t>
      </w:r>
      <w:r/>
    </w:p>
    <w:p>
      <w:pPr>
        <w:ind w:left="2" w:firstLine="470"/>
        <w:spacing w:line="360" w:lineRule="auto"/>
        <w:rPr>
          <w:rFonts w:ascii="宋体" w:hAnsi="宋体" w:cs="宋体"/>
          <w:szCs w:val="21"/>
        </w:rPr>
      </w:pPr>
      <w:r>
        <w:rPr>
          <w:rFonts w:hint="eastAsia" w:ascii="宋体" w:hAnsi="宋体" w:cs="宋体"/>
          <w:szCs w:val="21"/>
        </w:rPr>
        <w:t xml:space="preserve">1、具体见招标文件要求和乙方投标文件承诺内容及本合同约定。质保期内应当免费提供售后维修服务，质保期结束后，甲方有需求的，乙方仍应当按照本合同及投标承诺提供售后服务，具体的费用双方另行协商。</w:t>
      </w:r>
      <w:r/>
    </w:p>
    <w:p>
      <w:pPr>
        <w:ind w:left="2" w:firstLine="470"/>
        <w:spacing w:line="360" w:lineRule="auto"/>
        <w:rPr>
          <w:rFonts w:hint="eastAsia" w:ascii="宋体" w:hAnsi="宋体" w:cs="宋体"/>
          <w:szCs w:val="21"/>
        </w:rPr>
      </w:pPr>
      <w:r>
        <w:rPr>
          <w:rFonts w:hint="eastAsia" w:ascii="宋体" w:hAnsi="宋体" w:cs="宋体"/>
          <w:szCs w:val="21"/>
        </w:rPr>
        <w:t xml:space="preserve">2、乙方未按照合同约定承担售后服务的，甲方有权委托第三方或自行维修，因此产生的全部费用（如材料费、人工费、差旅费等）由乙方承担。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九、违约责任</w:t>
      </w:r>
      <w:r/>
    </w:p>
    <w:p>
      <w:pPr>
        <w:ind w:left="2" w:firstLine="470"/>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ind w:left="2" w:firstLine="470"/>
        <w:spacing w:line="360" w:lineRule="auto"/>
        <w:rPr>
          <w:rFonts w:hint="eastAsia" w:ascii="宋体" w:hAnsi="宋体" w:cs="宋体"/>
          <w:szCs w:val="21"/>
        </w:rPr>
      </w:pPr>
      <w:r>
        <w:rPr>
          <w:rFonts w:hint="eastAsia" w:ascii="宋体" w:hAnsi="宋体" w:cs="宋体"/>
          <w:szCs w:val="21"/>
        </w:rPr>
        <w:t xml:space="preserve">1、甲方违约责任</w:t>
      </w:r>
      <w:r/>
    </w:p>
    <w:p>
      <w:pPr>
        <w:ind w:left="2" w:firstLine="470"/>
        <w:spacing w:line="360" w:lineRule="auto"/>
        <w:rPr>
          <w:rFonts w:hint="eastAsia" w:ascii="宋体" w:hAnsi="宋体" w:cs="宋体"/>
          <w:szCs w:val="21"/>
        </w:rPr>
      </w:pPr>
      <w:r>
        <w:rPr>
          <w:rFonts w:hint="eastAsia" w:ascii="宋体" w:hAnsi="宋体" w:cs="宋体"/>
          <w:szCs w:val="21"/>
        </w:rPr>
        <w:t xml:space="preserve">（1）在合同生效后，甲方无故要求退货的，应向乙方偿付合同价款的5%，作为违约金。</w:t>
      </w:r>
      <w:r/>
    </w:p>
    <w:p>
      <w:pPr>
        <w:ind w:left="2" w:firstLine="470"/>
        <w:spacing w:line="360" w:lineRule="auto"/>
        <w:rPr>
          <w:rFonts w:hint="eastAsia" w:ascii="宋体" w:hAnsi="宋体" w:cs="宋体"/>
          <w:szCs w:val="21"/>
        </w:rPr>
      </w:pPr>
      <w:r>
        <w:rPr>
          <w:rFonts w:hint="eastAsia" w:ascii="宋体" w:hAnsi="宋体" w:cs="宋体"/>
          <w:szCs w:val="21"/>
        </w:rPr>
        <w:t xml:space="preserve">（2）甲方逾期支付货款的应按照逾期应付而未付款金额的每天万分之一支付逾期付款违约金，最高不超过合同总金额的1%。</w:t>
      </w:r>
      <w:r/>
    </w:p>
    <w:p>
      <w:pPr>
        <w:ind w:left="2" w:firstLine="470"/>
        <w:spacing w:line="360" w:lineRule="auto"/>
        <w:rPr>
          <w:rFonts w:hint="eastAsia" w:ascii="宋体" w:hAnsi="宋体" w:cs="宋体"/>
          <w:szCs w:val="21"/>
        </w:rPr>
      </w:pPr>
      <w:r>
        <w:rPr>
          <w:rFonts w:hint="eastAsia" w:ascii="宋体" w:hAnsi="宋体" w:cs="宋体"/>
          <w:szCs w:val="21"/>
        </w:rPr>
        <w:t xml:space="preserve">（3）甲方违反合同规定，无故拒绝接收乙方交付的合格标的物，应当承担乙方由此遭受的损失。</w:t>
      </w:r>
      <w:r/>
    </w:p>
    <w:p>
      <w:pPr>
        <w:ind w:left="2" w:firstLine="470"/>
        <w:spacing w:line="360" w:lineRule="auto"/>
        <w:rPr>
          <w:rFonts w:hint="eastAsia" w:ascii="宋体" w:hAnsi="宋体" w:cs="宋体"/>
          <w:szCs w:val="21"/>
        </w:rPr>
      </w:pPr>
      <w:r>
        <w:rPr>
          <w:rFonts w:hint="eastAsia" w:ascii="宋体" w:hAnsi="宋体" w:cs="宋体"/>
          <w:szCs w:val="21"/>
        </w:rPr>
        <w:t xml:space="preserve">2、乙方违约责任</w:t>
      </w:r>
      <w:r/>
    </w:p>
    <w:p>
      <w:pPr>
        <w:ind w:left="2" w:firstLine="470"/>
        <w:spacing w:line="360" w:lineRule="auto"/>
        <w:rPr>
          <w:rFonts w:hint="eastAsia" w:ascii="宋体" w:hAnsi="宋体" w:cs="宋体"/>
          <w:szCs w:val="21"/>
        </w:rPr>
      </w:pPr>
      <w:r>
        <w:rPr>
          <w:rFonts w:hint="eastAsia" w:ascii="宋体" w:hAnsi="宋体" w:cs="宋体"/>
          <w:szCs w:val="21"/>
        </w:rPr>
        <w:t xml:space="preserve">（1）乙方不能交货（逾期超过十五天视为不能交货），或交货不合格从而影响甲方按期正常使用的，或乙方未经甲方同意对合同义务全部或部分进行转让或分包的，甲方有权解除合同，乙方应向甲方偿付合同价款5%的违约金，违约金不足以弥补损失的，甲方有权要求乙方补足。</w:t>
      </w:r>
      <w:r/>
    </w:p>
    <w:p>
      <w:pPr>
        <w:ind w:left="2" w:firstLine="470"/>
        <w:spacing w:line="360" w:lineRule="auto"/>
        <w:rPr>
          <w:rFonts w:hint="eastAsia" w:ascii="宋体" w:hAnsi="宋体" w:cs="宋体"/>
          <w:szCs w:val="21"/>
        </w:rPr>
      </w:pPr>
      <w:r>
        <w:rPr>
          <w:rFonts w:hint="eastAsia" w:ascii="宋体" w:hAnsi="宋体" w:cs="宋体"/>
          <w:szCs w:val="21"/>
        </w:rPr>
        <w:t xml:space="preserve">（2）乙方逾期交货的，应在发货前与甲方和政府采购管理部门协商，甲方仍需求的，乙方应立即发货，按照逾期交货部分货款的每天万分之四支付逾期交货违约金，同时承担甲方因此遭受的损失费用。</w:t>
      </w:r>
      <w:r/>
    </w:p>
    <w:p>
      <w:pPr>
        <w:ind w:left="2" w:firstLine="470"/>
        <w:spacing w:line="360" w:lineRule="auto"/>
        <w:rPr>
          <w:rFonts w:hint="eastAsia" w:ascii="宋体" w:hAnsi="宋体" w:cs="宋体"/>
          <w:szCs w:val="21"/>
        </w:rPr>
      </w:pPr>
      <w:r>
        <w:rPr>
          <w:rFonts w:hint="eastAsia" w:ascii="宋体" w:hAnsi="宋体" w:cs="宋体"/>
          <w:szCs w:val="21"/>
        </w:rPr>
        <w:t xml:space="preserve">乙方交货不合格定义：</w:t>
      </w:r>
      <w:r/>
    </w:p>
    <w:p>
      <w:pPr>
        <w:ind w:left="2" w:firstLine="470"/>
        <w:spacing w:line="360" w:lineRule="auto"/>
        <w:rPr>
          <w:rFonts w:hint="eastAsia" w:ascii="宋体" w:hAnsi="宋体" w:cs="宋体"/>
          <w:szCs w:val="21"/>
        </w:rPr>
      </w:pPr>
      <w:r>
        <w:rPr>
          <w:rFonts w:hint="eastAsia" w:ascii="宋体" w:hAnsi="宋体" w:cs="宋体"/>
          <w:szCs w:val="21"/>
        </w:rPr>
        <w:t xml:space="preserve">乙方提供的货物中有不符合采购文件、招投标中的要求或本合同约定的，视为该种货物交付不合格。</w:t>
      </w:r>
      <w:r/>
    </w:p>
    <w:p>
      <w:pPr>
        <w:ind w:left="2" w:firstLine="470"/>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ind w:left="2" w:firstLine="470"/>
        <w:spacing w:line="360" w:lineRule="auto"/>
        <w:rPr>
          <w:rFonts w:hint="eastAsia" w:ascii="宋体" w:hAnsi="宋体" w:cs="宋体"/>
          <w:szCs w:val="21"/>
        </w:rPr>
      </w:pPr>
      <w:r>
        <w:rPr>
          <w:rFonts w:hint="eastAsia" w:ascii="宋体" w:hAnsi="宋体" w:cs="宋体"/>
          <w:szCs w:val="21"/>
        </w:rPr>
        <w:t xml:space="preserve">十、不可抗力</w:t>
      </w:r>
      <w:r/>
    </w:p>
    <w:p>
      <w:pPr>
        <w:ind w:left="2" w:firstLine="47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ind w:left="2" w:firstLine="47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2、合同一方因不可抗力不能履行合同的，应当及时通知对方并采取合理减损措施，以减轻可能给对方造成的损失，并应当在合理期限内提供证明。</w:t>
      </w:r>
      <w:r/>
    </w:p>
    <w:p>
      <w:pPr>
        <w:pStyle w:val="679"/>
        <w:ind w:left="0" w:firstLine="420"/>
        <w:spacing w:line="360" w:lineRule="auto"/>
        <w:rPr>
          <w:rFonts w:hint="eastAsia" w:ascii="宋体" w:hAnsi="宋体" w:cs="宋体"/>
          <w:szCs w:val="21"/>
        </w:rPr>
      </w:pPr>
      <w:r>
        <w:rPr>
          <w:rFonts w:hint="eastAsia"/>
        </w:rPr>
        <w:t xml:space="preserve">3、本合同</w:t>
      </w:r>
      <w:r>
        <w:t xml:space="preserve">所称不可抗力是指不能预见、不能克服并不能避免且对当事人造成重大影响的客观事件，包括但不仅限于自然灾害如洪水、地震、火灾</w:t>
      </w:r>
      <w:r>
        <w:rPr>
          <w:rFonts w:hint="eastAsia"/>
        </w:rPr>
        <w:t xml:space="preserve">、泥石流</w:t>
      </w:r>
      <w:r>
        <w:t xml:space="preserve">等以及社会事件如战争、动乱、政府行为、主管机关指令等。</w:t>
      </w:r>
      <w:r/>
    </w:p>
    <w:p>
      <w:pPr>
        <w:ind w:left="2" w:firstLine="470"/>
        <w:spacing w:line="360" w:lineRule="auto"/>
        <w:rPr>
          <w:rFonts w:hint="eastAsia" w:ascii="宋体" w:hAnsi="宋体" w:cs="宋体"/>
          <w:szCs w:val="21"/>
        </w:rPr>
      </w:pPr>
      <w:r>
        <w:rPr>
          <w:rFonts w:hint="eastAsia" w:ascii="宋体" w:hAnsi="宋体" w:cs="宋体"/>
          <w:szCs w:val="21"/>
        </w:rPr>
        <w:t xml:space="preserve">十一、索赔</w:t>
      </w:r>
      <w:r/>
    </w:p>
    <w:p>
      <w:pPr>
        <w:ind w:left="2" w:firstLine="470"/>
        <w:spacing w:line="360" w:lineRule="auto"/>
        <w:rPr>
          <w:rFonts w:hint="eastAsia" w:ascii="宋体" w:hAnsi="宋体" w:cs="宋体"/>
          <w:szCs w:val="21"/>
        </w:rPr>
      </w:pPr>
      <w:r>
        <w:rPr>
          <w:rFonts w:hint="eastAsia" w:ascii="宋体" w:hAnsi="宋体" w:cs="宋体"/>
          <w:szCs w:val="21"/>
        </w:rPr>
        <w:t xml:space="preserve">1、甲方有权根据甲方所在地产品质量检验机构或其他有权部门出具的检验证书向乙方提出索赔。</w:t>
      </w:r>
      <w:r/>
    </w:p>
    <w:p>
      <w:pPr>
        <w:ind w:left="2" w:firstLine="470"/>
        <w:spacing w:line="360" w:lineRule="auto"/>
        <w:rPr>
          <w:rFonts w:hint="eastAsia" w:ascii="宋体" w:hAnsi="宋体" w:cs="宋体"/>
          <w:szCs w:val="21"/>
        </w:rPr>
      </w:pPr>
      <w:r>
        <w:rPr>
          <w:rFonts w:hint="eastAsia" w:ascii="宋体" w:hAnsi="宋体" w:cs="宋体"/>
          <w:szCs w:val="21"/>
        </w:rPr>
        <w:t xml:space="preserve">2、在本合同规定的检验期限和质量保证期、质保期内，如果乙方对甲方提出的索赔或差异有责任，则乙方应按甲方同意的下列一种或多种方式解决索赔事宜：</w:t>
      </w:r>
      <w:r/>
    </w:p>
    <w:p>
      <w:pPr>
        <w:ind w:left="2" w:firstLine="470"/>
        <w:spacing w:line="360" w:lineRule="auto"/>
        <w:rPr>
          <w:rFonts w:hint="eastAsia" w:ascii="宋体" w:hAnsi="宋体" w:cs="宋体"/>
          <w:szCs w:val="21"/>
        </w:rPr>
      </w:pPr>
      <w:r>
        <w:rPr>
          <w:rFonts w:hint="eastAsia" w:ascii="宋体" w:hAnsi="宋体" w:cs="宋体"/>
          <w:szCs w:val="21"/>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2" w:firstLine="470"/>
        <w:spacing w:line="360" w:lineRule="auto"/>
        <w:rPr>
          <w:rFonts w:hint="eastAsia" w:ascii="宋体" w:hAnsi="宋体" w:cs="宋体"/>
          <w:szCs w:val="21"/>
        </w:rPr>
      </w:pPr>
      <w:r>
        <w:rPr>
          <w:rFonts w:hint="eastAsia" w:ascii="宋体" w:hAnsi="宋体" w:cs="宋体"/>
          <w:szCs w:val="21"/>
        </w:rPr>
        <w:t xml:space="preserve">（2）达不到采购需求的标的物应退回，所产生的各项费用及损失由乙方承担。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2" w:firstLine="470"/>
        <w:spacing w:line="360" w:lineRule="auto"/>
        <w:rPr>
          <w:rFonts w:hint="eastAsia" w:ascii="宋体" w:hAnsi="宋体" w:cs="宋体"/>
          <w:szCs w:val="21"/>
        </w:rPr>
      </w:pPr>
      <w:r>
        <w:rPr>
          <w:rFonts w:hint="eastAsia" w:ascii="宋体" w:hAnsi="宋体" w:cs="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支付索赔金额，甲方有权向乙方提出对不足部分的补足，逾期未补足的应当按照应补足金额一年期LPR的4倍承担利息。 </w:t>
      </w:r>
      <w:r/>
    </w:p>
    <w:p>
      <w:pPr>
        <w:ind w:left="2" w:firstLine="470"/>
        <w:spacing w:line="360" w:lineRule="auto"/>
        <w:rPr>
          <w:rFonts w:hint="eastAsia" w:ascii="宋体" w:hAnsi="宋体" w:cs="宋体"/>
          <w:szCs w:val="21"/>
        </w:rPr>
      </w:pPr>
      <w:r>
        <w:rPr>
          <w:rFonts w:hint="eastAsia" w:ascii="宋体" w:hAnsi="宋体" w:cs="宋体"/>
          <w:szCs w:val="21"/>
        </w:rPr>
        <w:t xml:space="preserve">十二、保密条款</w:t>
      </w:r>
      <w:r/>
    </w:p>
    <w:p>
      <w:pPr>
        <w:ind w:left="2" w:firstLine="470"/>
        <w:spacing w:line="360" w:lineRule="auto"/>
        <w:rPr>
          <w:rFonts w:hint="eastAsia" w:ascii="宋体" w:hAnsi="宋体" w:cs="宋体"/>
          <w:szCs w:val="21"/>
        </w:rPr>
      </w:pPr>
      <w:r>
        <w:rPr>
          <w:rFonts w:hint="eastAsia" w:ascii="宋体" w:hAnsi="宋体" w:cs="宋体"/>
          <w:szCs w:val="21"/>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2" w:firstLine="470"/>
        <w:spacing w:line="360" w:lineRule="auto"/>
        <w:rPr>
          <w:rFonts w:hint="eastAsia" w:ascii="宋体" w:hAnsi="宋体" w:cs="宋体"/>
          <w:szCs w:val="21"/>
        </w:rPr>
      </w:pPr>
      <w:r>
        <w:rPr>
          <w:rFonts w:hint="eastAsia" w:ascii="宋体" w:hAnsi="宋体" w:cs="宋体"/>
          <w:szCs w:val="21"/>
        </w:rPr>
        <w:t xml:space="preserve">2、无论本合同是否变更、解除或终止，本合同的保密条款不受其限制而继续有效，双方都应继续承担保密条款约定的保密义务。双方承担保密义务的期限为永久。</w:t>
      </w:r>
      <w:r/>
    </w:p>
    <w:p>
      <w:pPr>
        <w:ind w:left="2" w:firstLine="470"/>
        <w:spacing w:line="360" w:lineRule="auto"/>
        <w:rPr>
          <w:rFonts w:hint="eastAsia" w:ascii="宋体" w:hAnsi="宋体" w:cs="宋体"/>
          <w:szCs w:val="21"/>
        </w:rPr>
      </w:pPr>
      <w:r>
        <w:rPr>
          <w:rFonts w:hint="eastAsia" w:ascii="宋体" w:hAnsi="宋体" w:cs="宋体"/>
          <w:szCs w:val="21"/>
        </w:rPr>
        <w:t xml:space="preserve">3、若乙方未能遵守本合同约定的保密义务的，甲方可要求乙方支付本合同总金额10%的违约金，并有权视情节轻重单方解除本合同。</w:t>
      </w:r>
      <w:r/>
    </w:p>
    <w:p>
      <w:pPr>
        <w:ind w:left="2" w:firstLine="470"/>
        <w:spacing w:line="360" w:lineRule="auto"/>
        <w:rPr>
          <w:rFonts w:hint="eastAsia" w:ascii="宋体" w:hAnsi="宋体" w:cs="宋体"/>
          <w:szCs w:val="21"/>
        </w:rPr>
      </w:pPr>
      <w:r>
        <w:rPr>
          <w:rFonts w:hint="eastAsia" w:ascii="宋体" w:hAnsi="宋体" w:cs="宋体"/>
          <w:szCs w:val="21"/>
        </w:rPr>
        <w:t xml:space="preserve">十三、知识产权</w:t>
      </w:r>
      <w:r/>
    </w:p>
    <w:p>
      <w:pPr>
        <w:ind w:left="2" w:firstLine="470"/>
        <w:spacing w:line="360" w:lineRule="auto"/>
        <w:rPr>
          <w:rFonts w:hint="eastAsia" w:ascii="宋体" w:hAnsi="宋体" w:cs="宋体"/>
          <w:szCs w:val="21"/>
        </w:rPr>
      </w:pPr>
      <w:r>
        <w:rPr>
          <w:rFonts w:hint="eastAsia" w:ascii="宋体" w:hAnsi="宋体" w:cs="宋体"/>
          <w:szCs w:val="21"/>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直接、间接损失。</w:t>
      </w:r>
      <w:r/>
    </w:p>
    <w:p>
      <w:pPr>
        <w:ind w:left="2" w:firstLine="470"/>
        <w:spacing w:line="360" w:lineRule="auto"/>
        <w:rPr>
          <w:rFonts w:hint="eastAsia" w:ascii="宋体" w:hAnsi="宋体" w:cs="宋体"/>
          <w:szCs w:val="21"/>
        </w:rPr>
      </w:pPr>
      <w:r>
        <w:rPr>
          <w:rFonts w:hint="eastAsia" w:ascii="宋体" w:hAnsi="宋体" w:cs="宋体"/>
          <w:szCs w:val="21"/>
        </w:rPr>
        <w:t xml:space="preserve">2、乙方应保证在提供本项目下服务过程中不侵害任何第三人的知识产权等合法权益，因知识产权纠纷第三人向甲方请求赔偿的，乙方应承担由此产生的一切费用，给甲方造成损失的，乙方应赔偿甲方一切直接、间接损失。</w:t>
      </w:r>
      <w:r/>
    </w:p>
    <w:p>
      <w:pPr>
        <w:ind w:left="2" w:firstLine="470"/>
        <w:spacing w:line="360" w:lineRule="auto"/>
        <w:rPr>
          <w:rFonts w:hint="eastAsia" w:ascii="宋体" w:hAnsi="宋体" w:cs="宋体"/>
          <w:szCs w:val="21"/>
        </w:rPr>
      </w:pPr>
      <w:r>
        <w:rPr>
          <w:rFonts w:hint="eastAsia" w:ascii="宋体" w:hAnsi="宋体" w:cs="宋体"/>
          <w:szCs w:val="21"/>
        </w:rPr>
        <w:t xml:space="preserve">十四、合同的解除和转让</w:t>
      </w:r>
      <w:r/>
    </w:p>
    <w:p>
      <w:pPr>
        <w:ind w:left="2" w:firstLine="470"/>
        <w:spacing w:line="360" w:lineRule="auto"/>
        <w:rPr>
          <w:rFonts w:hint="eastAsia" w:ascii="宋体" w:hAnsi="宋体" w:cs="宋体"/>
          <w:szCs w:val="21"/>
        </w:rPr>
      </w:pPr>
      <w:r>
        <w:rPr>
          <w:rFonts w:hint="eastAsia" w:ascii="宋体" w:hAnsi="宋体" w:cs="宋体"/>
          <w:szCs w:val="21"/>
        </w:rPr>
        <w:t xml:space="preserve">1、有下列情形之一，合同一方可以解除合同：</w:t>
      </w:r>
      <w:r/>
    </w:p>
    <w:p>
      <w:pPr>
        <w:ind w:left="2" w:firstLine="47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left="2" w:firstLine="47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pStyle w:val="679"/>
        <w:ind w:left="2"/>
        <w:rPr>
          <w:rFonts w:hint="eastAsia" w:ascii="宋体" w:hAnsi="宋体" w:cs="宋体"/>
          <w:szCs w:val="21"/>
        </w:rPr>
      </w:pPr>
      <w:r>
        <w:rPr>
          <w:rFonts w:hint="eastAsia"/>
        </w:rPr>
        <w:t xml:space="preserve">（3）协商一致解除合同。</w:t>
      </w:r>
      <w:r/>
    </w:p>
    <w:p>
      <w:pPr>
        <w:ind w:left="2" w:firstLine="470"/>
        <w:spacing w:line="360" w:lineRule="auto"/>
        <w:rPr>
          <w:rFonts w:hint="eastAsia" w:ascii="宋体" w:hAnsi="宋体" w:cs="宋体"/>
          <w:szCs w:val="21"/>
        </w:rPr>
      </w:pPr>
      <w:r>
        <w:rPr>
          <w:rFonts w:hint="eastAsia" w:ascii="宋体" w:hAnsi="宋体" w:cs="宋体"/>
          <w:szCs w:val="21"/>
        </w:rPr>
        <w:t xml:space="preserve">2、有权解除合同的一方，应当在违约事实或不可抗力发生之后书面通知对方以主张解除合同，合同在书面通知到达对方时解除。</w:t>
      </w:r>
      <w:r/>
    </w:p>
    <w:p>
      <w:pPr>
        <w:ind w:left="2" w:firstLine="470"/>
        <w:spacing w:line="360" w:lineRule="auto"/>
        <w:rPr>
          <w:rFonts w:hint="eastAsia" w:ascii="宋体" w:hAnsi="宋体" w:cs="宋体"/>
          <w:szCs w:val="21"/>
        </w:rPr>
      </w:pPr>
      <w:r>
        <w:rPr>
          <w:rFonts w:hint="eastAsia" w:ascii="宋体" w:hAnsi="宋体" w:cs="宋体"/>
          <w:szCs w:val="21"/>
        </w:rPr>
        <w:t xml:space="preserve">3、合同的部分和全部都不得转让。</w:t>
      </w:r>
      <w:r/>
    </w:p>
    <w:p>
      <w:pPr>
        <w:ind w:left="2" w:firstLine="470"/>
        <w:spacing w:line="360" w:lineRule="auto"/>
        <w:rPr>
          <w:rFonts w:hint="eastAsia" w:ascii="宋体" w:hAnsi="宋体" w:cs="宋体"/>
          <w:szCs w:val="21"/>
        </w:rPr>
      </w:pPr>
      <w:r>
        <w:rPr>
          <w:rFonts w:hint="eastAsia" w:ascii="宋体" w:hAnsi="宋体" w:cs="宋体"/>
          <w:szCs w:val="21"/>
        </w:rPr>
        <w:t xml:space="preserve">十五、争议解决办法</w:t>
      </w:r>
      <w:r/>
    </w:p>
    <w:p>
      <w:pPr>
        <w:ind w:left="2" w:firstLine="470"/>
        <w:spacing w:line="360" w:lineRule="auto"/>
        <w:rPr>
          <w:rFonts w:hint="eastAsia" w:ascii="宋体" w:hAnsi="宋体" w:cs="宋体"/>
          <w:szCs w:val="21"/>
        </w:rPr>
      </w:pPr>
      <w:r>
        <w:rPr>
          <w:rFonts w:hint="eastAsia" w:ascii="宋体" w:hAnsi="宋体" w:cs="宋体"/>
          <w:szCs w:val="21"/>
        </w:rPr>
        <w:t xml:space="preserve">甲乙双方因履行本合同或与本合同有关的事项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律师费、差旅费等。</w:t>
      </w:r>
      <w:r/>
    </w:p>
    <w:p>
      <w:pPr>
        <w:ind w:left="2" w:firstLine="470"/>
        <w:spacing w:line="360" w:lineRule="auto"/>
        <w:rPr>
          <w:rFonts w:hint="eastAsia" w:ascii="宋体" w:hAnsi="宋体" w:cs="宋体"/>
          <w:szCs w:val="21"/>
        </w:rPr>
      </w:pPr>
      <w:r>
        <w:rPr>
          <w:rFonts w:hint="eastAsia" w:ascii="宋体" w:hAnsi="宋体" w:cs="宋体"/>
          <w:szCs w:val="21"/>
        </w:rPr>
        <w:t xml:space="preserve">十六、合同生效及其它</w:t>
      </w:r>
      <w:r/>
    </w:p>
    <w:p>
      <w:pPr>
        <w:ind w:left="2" w:firstLine="470"/>
        <w:spacing w:line="360" w:lineRule="auto"/>
        <w:rPr>
          <w:rFonts w:hint="eastAsia" w:ascii="宋体" w:hAnsi="宋体" w:cs="宋体"/>
          <w:szCs w:val="21"/>
        </w:rPr>
      </w:pPr>
      <w:r>
        <w:rPr>
          <w:rFonts w:hint="eastAsia" w:ascii="宋体" w:hAnsi="宋体" w:cs="宋体"/>
          <w:szCs w:val="21"/>
        </w:rPr>
        <w:t xml:space="preserve">1、合同经招标代理机构加盖骑缝章，甲乙双方法定代表人或授权代表签字（或加盖个人印章）并加盖公章（或合同章）后生效，生效合同在合同签订后2个工作日内上传系统网上公示。</w:t>
      </w:r>
      <w:r/>
    </w:p>
    <w:p>
      <w:pPr>
        <w:ind w:left="2" w:firstLine="470"/>
        <w:spacing w:line="360" w:lineRule="auto"/>
        <w:rPr>
          <w:rFonts w:hint="eastAsia" w:ascii="宋体" w:hAnsi="宋体" w:cs="宋体"/>
          <w:szCs w:val="21"/>
        </w:rPr>
      </w:pPr>
      <w:r>
        <w:rPr>
          <w:rFonts w:hint="eastAsia" w:ascii="宋体" w:hAnsi="宋体" w:cs="宋体"/>
          <w:szCs w:val="21"/>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left="2" w:firstLine="470"/>
        <w:spacing w:line="360" w:lineRule="auto"/>
        <w:rPr>
          <w:rFonts w:hint="eastAsia" w:ascii="宋体" w:hAnsi="宋体" w:cs="宋体"/>
          <w:szCs w:val="21"/>
        </w:rPr>
      </w:pPr>
      <w:r>
        <w:rPr>
          <w:rFonts w:hint="eastAsia" w:ascii="宋体" w:hAnsi="宋体" w:cs="宋体"/>
          <w:szCs w:val="21"/>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ind w:left="2" w:firstLine="470"/>
        <w:spacing w:line="360" w:lineRule="auto"/>
        <w:rPr>
          <w:rFonts w:hint="eastAsia" w:ascii="宋体" w:hAnsi="宋体" w:cs="宋体"/>
          <w:szCs w:val="21"/>
        </w:rPr>
      </w:pPr>
      <w:r>
        <w:rPr>
          <w:rFonts w:hint="eastAsia" w:ascii="宋体" w:hAnsi="宋体" w:cs="宋体"/>
          <w:szCs w:val="21"/>
        </w:rPr>
        <w:t xml:space="preserve">4、本合同一式陆份，甲方二份，乙方二份、苏州市政府采购监管处和招标代理机构各执一份，具备同等法律效力。</w:t>
      </w:r>
      <w:r/>
    </w:p>
    <w:p>
      <w:pPr>
        <w:ind w:left="2" w:firstLine="470"/>
        <w:spacing w:line="360" w:lineRule="auto"/>
        <w:rPr>
          <w:rFonts w:hint="eastAsia" w:ascii="宋体" w:hAnsi="宋体" w:cs="宋体"/>
          <w:szCs w:val="21"/>
        </w:rPr>
      </w:pPr>
      <w:r>
        <w:rPr>
          <w:rFonts w:hint="eastAsia" w:ascii="宋体" w:hAnsi="宋体" w:cs="宋体"/>
          <w:szCs w:val="21"/>
        </w:rPr>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签订日期：</w:t>
      </w:r>
      <w:r/>
    </w:p>
    <w:p>
      <w:pPr>
        <w:ind w:left="2" w:firstLine="470"/>
        <w:spacing w:line="360" w:lineRule="auto"/>
        <w:rPr>
          <w:rFonts w:hint="eastAsia" w:ascii="宋体" w:hAnsi="宋体" w:cs="宋体"/>
          <w:szCs w:val="21"/>
          <w:lang w:val="zh-CN"/>
        </w:rPr>
      </w:pPr>
      <w:r>
        <w:rPr>
          <w:rFonts w:hint="eastAsia" w:ascii="宋体" w:hAnsi="宋体" w:cs="宋体"/>
          <w:szCs w:val="21"/>
          <w:lang w:val="zh-CN"/>
        </w:rPr>
      </w:r>
      <w:r/>
    </w:p>
    <w:p>
      <w:pPr>
        <w:ind w:left="2" w:firstLine="470"/>
        <w:spacing w:line="360" w:lineRule="auto"/>
        <w:rPr>
          <w:rFonts w:hint="eastAsia" w:ascii="宋体" w:hAnsi="宋体" w:cs="宋体"/>
          <w:szCs w:val="21"/>
          <w:lang w:val="zh-CN"/>
        </w:rPr>
      </w:pPr>
      <w:r>
        <w:rPr>
          <w:rFonts w:hint="eastAsia" w:ascii="宋体" w:hAnsi="宋体" w:cs="宋体"/>
          <w:szCs w:val="21"/>
          <w:lang w:val="zh-CN"/>
        </w:rPr>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乙方（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签订日期：</w:t>
      </w:r>
      <w:r/>
    </w:p>
    <w:p>
      <w:pPr>
        <w:ind w:left="0" w:firstLine="0"/>
        <w:spacing w:line="360" w:lineRule="auto"/>
        <w:rPr>
          <w:rFonts w:hint="eastAsia" w:ascii="宋体" w:hAnsi="宋体"/>
          <w:sz w:val="21"/>
          <w:szCs w:val="21"/>
        </w:rPr>
      </w:pPr>
      <w:r>
        <w:rPr>
          <w:rFonts w:hint="eastAsia" w:ascii="宋体" w:hAnsi="宋体"/>
          <w:sz w:val="21"/>
          <w:szCs w:val="21"/>
        </w:rPr>
      </w:r>
      <w:r/>
    </w:p>
    <w:p>
      <w:pPr>
        <w:ind w:firstLine="880"/>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第六章 </w:t>
      </w:r>
      <w:bookmarkStart w:id="50" w:name="评分要点"/>
      <w:r>
        <w:rPr>
          <w:rFonts w:hint="eastAsia" w:ascii="宋体" w:hAnsi="宋体" w:cs="宋体"/>
          <w:bCs/>
          <w:color w:val="000000" w:themeColor="text1"/>
          <w:sz w:val="44"/>
          <w:szCs w:val="44"/>
          <w14:textFill>
            <w14:solidFill>
              <w14:schemeClr w14:val="tx1"/>
            </w14:solidFill>
          </w14:textFill>
        </w:rPr>
        <w:t xml:space="preserve">评</w:t>
      </w:r>
      <w:bookmarkEnd w:id="50"/>
      <w:r>
        <w:rPr>
          <w:rFonts w:hint="eastAsia" w:ascii="宋体" w:hAnsi="宋体" w:cs="宋体"/>
          <w:bCs/>
          <w:color w:val="000000" w:themeColor="text1"/>
          <w:sz w:val="44"/>
          <w:szCs w:val="44"/>
          <w14:textFill>
            <w14:solidFill>
              <w14:schemeClr w14:val="tx1"/>
            </w14:solidFill>
          </w14:textFill>
        </w:rPr>
        <w:t xml:space="preserve">标办法及评分标准</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Style w:val="734"/>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二、评分标准</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（一）价格基准分：（30分）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第一步：投标总报价低于或等于采购预算价格的，为有效投标报价。超采购预算的投标报价为无效投标报价。无效投标报价的投标文件不进行评审，也不得标。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第二步：价格分采用低价优先法计算，即满足招标文件要求且投标价格最低的投标报价为评标基准价，其价格分为满分30分。其他投标人的价格分统一按照下列公式计算：</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投标报价得分=（评标基准价/投标报价）*价格权值*100，小数点后保留两位（价格权值为30%）。</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（二）技术部分（5</w:t>
      </w:r>
      <w:r>
        <w:rPr>
          <w:rFonts w:hint="eastAsia" w:ascii="宋体" w:hAnsi="宋体" w:cs="宋体"/>
          <w:b/>
          <w:bCs/>
          <w:color w:val="000000" w:themeColor="text1"/>
          <w:szCs w:val="21"/>
          <w:lang w:val="en-US" w:eastAsia="zh-CN"/>
          <w14:textFill>
            <w14:solidFill>
              <w14:schemeClr w14:val="tx1"/>
            </w14:solidFill>
          </w14:textFill>
        </w:rPr>
        <w:t xml:space="preserve">0</w:t>
      </w:r>
      <w:r>
        <w:rPr>
          <w:rFonts w:hint="eastAsia" w:ascii="宋体" w:hAnsi="宋体" w:cs="宋体"/>
          <w:b/>
          <w:bCs/>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1、投标产品技术指标和性能要求（2</w:t>
      </w:r>
      <w:r>
        <w:rPr>
          <w:rFonts w:hint="eastAsia" w:ascii="宋体" w:hAnsi="宋体" w:cs="宋体"/>
          <w:color w:val="000000" w:themeColor="text1"/>
          <w:szCs w:val="21"/>
          <w:lang w:val="en-US" w:eastAsia="zh-CN"/>
          <w14:textFill>
            <w14:solidFill>
              <w14:schemeClr w14:val="tx1"/>
            </w14:solidFill>
          </w14:textFill>
        </w:rPr>
        <w:t xml:space="preserve">0</w:t>
      </w:r>
      <w:r>
        <w:rPr>
          <w:rFonts w:hint="eastAsia" w:ascii="宋体" w:hAnsi="宋体" w:cs="宋体"/>
          <w:color w:val="000000" w:themeColor="text1"/>
          <w:szCs w:val="21"/>
          <w14:textFill>
            <w14:solidFill>
              <w14:schemeClr w14:val="tx1"/>
            </w14:solidFill>
          </w14:textFill>
        </w:rPr>
        <w:t xml:space="preserve">分）</w:t>
      </w:r>
      <w:r/>
    </w:p>
    <w:p>
      <w:pPr>
        <w:ind w:firstLine="420"/>
        <w:spacing w:line="360" w:lineRule="auto"/>
        <w:rPr>
          <w:rFonts w:hint="eastAsia" w:ascii="宋体" w:hAnsi="宋体" w:eastAsia="宋体" w:cs="宋体"/>
          <w:color w:val="0000ff"/>
          <w:szCs w:val="21"/>
          <w:lang w:eastAsia="zh-CN"/>
        </w:rPr>
      </w:pPr>
      <w:r>
        <w:rPr>
          <w:rFonts w:hint="eastAsia" w:ascii="宋体" w:hAnsi="宋体" w:cs="宋体"/>
          <w:color w:val="000000" w:themeColor="text1"/>
          <w:szCs w:val="21"/>
          <w14:textFill>
            <w14:solidFill>
              <w14:schemeClr w14:val="tx1"/>
            </w14:solidFill>
          </w14:textFill>
        </w:rPr>
        <w:t xml:space="preserve">完全符合招标文件要求没有负偏离</w:t>
      </w:r>
      <w:r>
        <w:rPr>
          <w:rFonts w:hint="eastAsia" w:ascii="宋体" w:hAnsi="宋体" w:cs="宋体"/>
          <w:color w:val="000000" w:themeColor="text1"/>
          <w:szCs w:val="21"/>
          <w:lang w:val="en-US" w:eastAsia="zh-CN"/>
          <w14:textFill>
            <w14:solidFill>
              <w14:schemeClr w14:val="tx1"/>
            </w14:solidFill>
          </w14:textFill>
        </w:rPr>
        <w:t xml:space="preserve">的</w:t>
      </w:r>
      <w:r>
        <w:rPr>
          <w:rFonts w:hint="eastAsia" w:ascii="宋体" w:hAnsi="宋体" w:cs="宋体"/>
          <w:color w:val="000000" w:themeColor="text1"/>
          <w:szCs w:val="21"/>
          <w14:textFill>
            <w14:solidFill>
              <w14:schemeClr w14:val="tx1"/>
            </w14:solidFill>
          </w14:textFill>
        </w:rPr>
        <w:t xml:space="preserve">得2</w:t>
      </w:r>
      <w:r>
        <w:rPr>
          <w:rFonts w:hint="eastAsia" w:ascii="宋体" w:hAnsi="宋体" w:cs="宋体"/>
          <w:color w:val="000000" w:themeColor="text1"/>
          <w:szCs w:val="21"/>
          <w:lang w:val="en-US" w:eastAsia="zh-CN"/>
          <w14:textFill>
            <w14:solidFill>
              <w14:schemeClr w14:val="tx1"/>
            </w14:solidFill>
          </w14:textFill>
        </w:rPr>
        <w:t xml:space="preserve">0</w:t>
      </w:r>
      <w:r>
        <w:rPr>
          <w:rFonts w:hint="eastAsia" w:ascii="宋体" w:hAnsi="宋体" w:cs="宋体"/>
          <w:color w:val="000000" w:themeColor="text1"/>
          <w:szCs w:val="21"/>
          <w14:textFill>
            <w14:solidFill>
              <w14:schemeClr w14:val="tx1"/>
            </w14:solidFill>
          </w14:textFill>
        </w:rPr>
        <w:t xml:space="preserve">分；标（▲）项技术参数每有一项负偏离</w:t>
      </w:r>
      <w:r>
        <w:rPr>
          <w:rFonts w:hint="eastAsia" w:ascii="宋体" w:hAnsi="宋体" w:cs="宋体"/>
          <w:color w:val="000000" w:themeColor="text1"/>
          <w:szCs w:val="21"/>
          <w:lang w:val="en-US" w:eastAsia="zh-CN"/>
          <w14:textFill>
            <w14:solidFill>
              <w14:schemeClr w14:val="tx1"/>
            </w14:solidFill>
          </w14:textFill>
        </w:rPr>
        <w:t xml:space="preserve">的</w:t>
      </w:r>
      <w:r>
        <w:rPr>
          <w:rFonts w:hint="eastAsia" w:ascii="宋体" w:hAnsi="宋体" w:cs="宋体"/>
          <w:color w:val="000000" w:themeColor="text1"/>
          <w:szCs w:val="21"/>
          <w14:textFill>
            <w14:solidFill>
              <w14:schemeClr w14:val="tx1"/>
            </w14:solidFill>
          </w14:textFill>
        </w:rPr>
        <w:t xml:space="preserve">扣2分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共10处）</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2、技术方案（8分）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根据投标人针对本项目制定的技术方案进行评分，方案内容包括：①产品技术路线；②产品生产工艺；③产品结构图；④效果图等。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所提供方案内容完整详细、涵盖上述情形的得8分，每缺少一项内容扣2分，每项中每有一处存在内容缺陷的扣1分，扣完为止。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3、实施方案（12分）：根据投标人针对本项目制定的实施方案进行评分，方案内容包括：①项目进度计划；②项目团队；③供货与质量保障方案；④安装调试方案；⑤施工方案；⑥项目现场管理等。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所提供方案内容完整详细、涵盖上述情形的得12分，每缺少一项内容扣2分，每项中每有一处存在内容缺陷的扣1分，扣完为止。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4、培训方案（4分）：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根据投标人针对本项目制定的培训方案进行评分，方案内容包括：①培训目标与内容；②培训方式及时间等。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所提供方案内容完整详细、涵盖上述情形的得4分，每缺少一项内容扣2分，每项中每有一处存在内容缺陷的扣1分，扣完为止。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5、售后服务（6分）：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根据投标人针对本项目制定的售后服务方案进行评分，方案内容包含：①售后服务人员与承诺；②售后服务响应机制；③备品备件情况等。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所提供方案内容完整详细、涵盖上述情形的得6分，每缺少一项内容扣2分，每项中每有一处存在内容缺陷的扣1分，扣完为止。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（三）商务部分（</w:t>
      </w:r>
      <w:r>
        <w:rPr>
          <w:rFonts w:hint="eastAsia" w:ascii="宋体" w:hAnsi="宋体" w:cs="宋体"/>
          <w:b/>
          <w:bCs/>
          <w:color w:val="000000" w:themeColor="text1"/>
          <w:szCs w:val="21"/>
          <w:lang w:val="en-US" w:eastAsia="zh-CN"/>
          <w14:textFill>
            <w14:solidFill>
              <w14:schemeClr w14:val="tx1"/>
            </w14:solidFill>
          </w14:textFill>
        </w:rPr>
        <w:t xml:space="preserve">20</w:t>
      </w:r>
      <w:r>
        <w:rPr>
          <w:rFonts w:hint="eastAsia" w:ascii="宋体" w:hAnsi="宋体" w:cs="宋体"/>
          <w:b/>
          <w:bCs/>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1、拟投入人员（8分）</w:t>
      </w:r>
      <w:r>
        <w:rPr>
          <w:rFonts w:hint="eastAsia" w:ascii="宋体" w:hAnsi="宋体" w:cs="宋体"/>
          <w:color w:val="000000" w:themeColor="text1"/>
          <w:szCs w:val="21"/>
          <w14:textFill>
            <w14:solidFill>
              <w14:schemeClr w14:val="tx1"/>
            </w14:solidFill>
          </w14:textFill>
        </w:rPr>
        <w:tab/>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拟投入本项目的团队人员：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（1）具有电子工程专业中级或以上职称证书得2分；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（2）具有文物博物专业中级或以上职称证书得2分；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（3）具有工信部下属机构或者其他经授权备案评委会颁发的安全防范工程师、机电一体化工程师证书的，每提供一种证书得2分，最多得4分。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注：1）须提供人员相应证书和投标人为其缴纳的最近一期社保证明材料。2）注册时间不满3个月的企业可提供拟派人员劳动合同及在岗承诺函。3）资料不齐全或未提供不得分。4）同一人员不同证书不重复得分。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2、类似项目业绩（</w:t>
      </w:r>
      <w:r>
        <w:rPr>
          <w:rFonts w:hint="eastAsia" w:ascii="宋体" w:hAnsi="宋体" w:cs="宋体"/>
          <w:color w:val="000000" w:themeColor="text1"/>
          <w:szCs w:val="21"/>
          <w:lang w:val="en-US" w:eastAsia="zh-CN"/>
          <w14:textFill>
            <w14:solidFill>
              <w14:schemeClr w14:val="tx1"/>
            </w14:solidFill>
          </w14:textFill>
        </w:rPr>
        <w:t xml:space="preserve">12</w:t>
      </w:r>
      <w:r>
        <w:rPr>
          <w:rFonts w:hint="eastAsia" w:ascii="宋体" w:hAnsi="宋体" w:cs="宋体"/>
          <w:color w:val="000000" w:themeColor="text1"/>
          <w:szCs w:val="21"/>
          <w14:textFill>
            <w14:solidFill>
              <w14:schemeClr w14:val="tx1"/>
            </w14:solidFill>
          </w14:textFill>
        </w:rPr>
        <w:t xml:space="preserve">分）：自2023年1月(含)至今，投标人承担过博物馆类似项目实施，并通过了采购人或者主管部门验收的，每提供一个项目得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分，最多得</w:t>
      </w:r>
      <w:r>
        <w:rPr>
          <w:rFonts w:hint="eastAsia" w:ascii="宋体" w:hAnsi="宋体" w:cs="宋体"/>
          <w:color w:val="000000" w:themeColor="text1"/>
          <w:szCs w:val="21"/>
          <w:lang w:val="en-US" w:eastAsia="zh-CN"/>
          <w14:textFill>
            <w14:solidFill>
              <w14:schemeClr w14:val="tx1"/>
            </w14:solidFill>
          </w14:textFill>
        </w:rPr>
        <w:t xml:space="preserve">12</w:t>
      </w:r>
      <w:r>
        <w:rPr>
          <w:rFonts w:hint="eastAsia" w:ascii="宋体" w:hAnsi="宋体" w:cs="宋体"/>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注：须同时提供合同、采购人或主管部门出具的验收证明材料扫描件并加盖公章，否则不得分。</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注：</w:t>
      </w:r>
      <w:r/>
    </w:p>
    <w:p>
      <w:pPr>
        <w:ind w:firstLine="480"/>
        <w:spacing w:line="360" w:lineRule="auto"/>
        <w:rPr>
          <w:rFonts w:hint="eastAsia" w:ascii="宋体" w:hAnsi="宋体" w:cs="宋体"/>
          <w:szCs w:val="21"/>
        </w:rPr>
      </w:pPr>
      <w:r>
        <w:rPr>
          <w:rFonts w:hint="eastAsia" w:ascii="宋体" w:hAnsi="宋体" w:cs="宋体"/>
          <w:szCs w:val="21"/>
        </w:rPr>
        <w:t xml:space="preserve">1、投标人不得对招标文件中付款方式、付款条件进行修改，否则视为未实质性响应，且不具备中标资格。</w:t>
      </w:r>
      <w:r/>
    </w:p>
    <w:p>
      <w:pPr>
        <w:ind w:firstLine="480"/>
        <w:spacing w:line="360" w:lineRule="auto"/>
        <w:rPr>
          <w:rFonts w:hint="eastAsia" w:ascii="宋体" w:hAnsi="宋体" w:cs="宋体"/>
          <w:szCs w:val="21"/>
        </w:rPr>
      </w:pPr>
      <w:r>
        <w:rPr>
          <w:rFonts w:hint="eastAsia" w:ascii="宋体" w:hAnsi="宋体" w:cs="宋体"/>
          <w:szCs w:val="21"/>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szCs w:val="21"/>
        </w:rPr>
        <w:t xml:space="preserve">3、</w:t>
      </w:r>
      <w:r>
        <w:rPr>
          <w:rFonts w:hint="eastAsia" w:ascii="宋体" w:hAnsi="宋体" w:cs="宋体"/>
          <w:szCs w:val="21"/>
          <w:lang w:eastAsia="zh-TW"/>
        </w:rPr>
        <w:t xml:space="preserve">商务部分偏离和</w:t>
      </w:r>
      <w:r>
        <w:rPr>
          <w:rFonts w:hint="eastAsia" w:ascii="宋体" w:hAnsi="宋体" w:cs="宋体"/>
          <w:szCs w:val="21"/>
        </w:rPr>
        <w:t xml:space="preserve">服务内容</w:t>
      </w:r>
      <w:r>
        <w:rPr>
          <w:rFonts w:hint="eastAsia" w:ascii="宋体" w:hAnsi="宋体" w:cs="宋体"/>
          <w:szCs w:val="21"/>
          <w:lang w:eastAsia="zh-TW"/>
        </w:rPr>
        <w:t xml:space="preserve">偏离要求逐一列明。</w:t>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三、政府采购政策：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（一）中、小企业</w:t>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51" w:name="_Hlk111647296"/>
      <w:r>
        <w:rPr>
          <w:rFonts w:hint="eastAsia" w:ascii="宋体" w:hAnsi="宋体" w:cs="宋体"/>
          <w:color w:val="000000" w:themeColor="text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color w:val="000000" w:themeColor="text1"/>
          <w:szCs w:val="21"/>
          <w14:textFill>
            <w14:solidFill>
              <w14:schemeClr w14:val="tx1"/>
            </w14:solidFill>
          </w14:textFill>
        </w:rPr>
        <w:t xml:space="preserve">：</w:t>
      </w:r>
      <w:bookmarkEnd w:id="51"/>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1、本项目属于</w:t>
      </w:r>
      <w:r>
        <w:rPr>
          <w:rFonts w:hint="eastAsia" w:ascii="宋体" w:hAnsi="宋体" w:cs="宋体"/>
          <w:b/>
          <w:color w:val="000000" w:themeColor="text1"/>
          <w:szCs w:val="21"/>
          <w:u w:val="single"/>
          <w14:textFill>
            <w14:solidFill>
              <w14:schemeClr w14:val="tx1"/>
            </w14:solidFill>
          </w14:textFill>
        </w:rPr>
        <w:t xml:space="preserve">专门面向中小企业</w:t>
      </w:r>
      <w:r>
        <w:rPr>
          <w:rFonts w:hint="eastAsia" w:ascii="宋体" w:hAnsi="宋体" w:cs="宋体"/>
          <w:b/>
          <w:color w:val="000000" w:themeColor="text1"/>
          <w:szCs w:val="21"/>
          <w14:textFill>
            <w14:solidFill>
              <w14:schemeClr w14:val="tx1"/>
            </w14:solidFill>
          </w14:textFill>
        </w:rPr>
        <w:t xml:space="preserve">的项目</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宋体"/>
          <w:b/>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，承接服务的供应商应为中小微企业、监狱企业、残疾人福利性单位。</w:t>
      </w:r>
      <w:r>
        <w:rPr>
          <w:rFonts w:hint="eastAsia" w:ascii="宋体" w:hAnsi="宋体" w:cs="宋体"/>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ascii="宋体" w:hAnsi="宋体" w:cs="宋体"/>
          <w:color w:val="000000" w:themeColor="text1"/>
          <w:szCs w:val="24"/>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5、本项目中，供应商提供的服务由中小企业承接，即提供服务的人员为中小企业依照《中华人民共和国劳动合同法》 订立劳动合同的从业人员，才可享受规定的中小企业扶持政策。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（二）残疾人福利性单位</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（三）监狱企业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tabs>
          <w:tab w:val="left" w:pos="567" w:leader="none"/>
        </w:tabs>
        <w:rPr>
          <w:rFonts w:hint="eastAsia" w:ascii="宋体" w:hAnsi="宋体"/>
          <w:color w:val="000000" w:themeColor="text1"/>
          <w:szCs w:val="21"/>
          <w14:textFill>
            <w14:solidFill>
              <w14:schemeClr w14:val="tx1"/>
            </w14:solidFill>
          </w14:textFill>
        </w:rPr>
      </w:pPr>
      <w:r/>
      <w:bookmarkStart w:id="52" w:name="OLE_LINK31"/>
      <w:r/>
      <w:bookmarkStart w:id="53" w:name="OLE_LINK34"/>
      <w:r>
        <w:rPr>
          <w:rFonts w:hint="eastAsia" w:ascii="宋体" w:hAnsi="宋体"/>
          <w:color w:val="000000" w:themeColor="text1"/>
          <w:szCs w:val="21"/>
          <w14:textFill>
            <w14:solidFill>
              <w14:schemeClr w14:val="tx1"/>
            </w14:solidFill>
          </w14:textFill>
        </w:rPr>
        <w:t xml:space="preserve">（四）对本国产品的支持政策</w:t>
      </w:r>
      <w:r/>
    </w:p>
    <w:p>
      <w:pPr>
        <w:ind w:firstLine="420"/>
        <w:spacing w:line="360" w:lineRule="auto"/>
        <w:tabs>
          <w:tab w:val="left" w:pos="567"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根据《国务院办公厅关于在</w:t>
      </w:r>
      <w:r>
        <w:rPr>
          <w:rFonts w:hint="eastAsia" w:ascii="宋体" w:hAnsi="宋体"/>
          <w:color w:val="000000" w:themeColor="text1"/>
          <w:szCs w:val="21"/>
          <w14:textFill>
            <w14:solidFill>
              <w14:schemeClr w14:val="tx1"/>
            </w14:solidFill>
          </w14:textFill>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hint="eastAsia" w:ascii="宋体" w:hAnsi="宋体"/>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hint="eastAsia" w:ascii="宋体" w:hAnsi="宋体"/>
          <w:color w:val="0000ff"/>
          <w:szCs w:val="21"/>
        </w:rPr>
      </w:pPr>
      <w:r>
        <w:rPr>
          <w:rFonts w:hint="eastAsia" w:ascii="宋体" w:hAnsi="宋体"/>
          <w:color w:val="000000" w:themeColor="text1"/>
          <w:szCs w:val="21"/>
          <w14:textFill>
            <w14:solidFill>
              <w14:schemeClr w14:val="tx1"/>
            </w14:solidFill>
          </w14:textFill>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52"/>
      <w:r/>
      <w:bookmarkEnd w:id="53"/>
      <w:r/>
      <w:r/>
    </w:p>
    <w:p>
      <w:r/>
      <w:r/>
    </w:p>
    <w:p>
      <w:pPr>
        <w:pStyle w:val="679"/>
        <w:jc w:val="center"/>
        <w:rPr>
          <w:rFonts w:hint="eastAsia" w:ascii="宋体" w:hAnsi="宋体" w:cs="宋体"/>
          <w:b/>
          <w:bCs/>
          <w:color w:val="000000" w:themeColor="text1"/>
          <w14:textFill>
            <w14:solidFill>
              <w14:schemeClr w14:val="tx1"/>
            </w14:solidFill>
          </w14:textFill>
        </w:rPr>
      </w:pPr>
      <w:r/>
      <w:bookmarkStart w:id="54" w:name="_Hlk132386289"/>
      <w:r>
        <w:rPr>
          <w:rFonts w:hint="eastAsia" w:ascii="宋体" w:hAnsi="宋体" w:cs="宋体"/>
          <w:b/>
          <w:bCs/>
          <w:color w:val="000000" w:themeColor="text1"/>
          <w14:textFill>
            <w14:solidFill>
              <w14:schemeClr w14:val="tx1"/>
            </w14:solidFill>
          </w14:textFill>
        </w:rPr>
        <w:t xml:space="preserve">（本文完）</w:t>
      </w:r>
      <w:bookmarkEnd w:id="54"/>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MS Mincho">
    <w:panose1 w:val="02020603050405090304"/>
  </w:font>
  <w:font w:name="Tahoma">
    <w:panose1 w:val="020B0604030504040204"/>
  </w:font>
  <w:font w:name="Arial Unicode MS">
    <w:panose1 w:val="020B0604020202020204"/>
  </w:font>
  <w:font w:name="Arial">
    <w:panose1 w:val="020B0604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43</w:t>
    </w:r>
    <w:r>
      <w:rPr>
        <w:rFonts w:ascii="宋体" w:hAnsi="宋体"/>
      </w:rPr>
      <w:fldChar w:fldCharType="end"/>
    </w:r>
    <w:r/>
  </w:p>
  <w:p>
    <w:pPr>
      <w:pStyle w:val="702"/>
    </w:p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both"/>
      <w:rPr>
        <w:rFonts w:hint="eastAsia" w:eastAsia="宋体"/>
        <w:lang w:eastAsia="zh-CN"/>
      </w:rPr>
    </w:pPr>
    <w:r>
      <w:rPr>
        <w:rFonts w:hint="eastAsia"/>
      </w:rPr>
      <w:t xml:space="preserve">苏州诚联招投标咨询服务有限公司                                            采购编号：</w:t>
    </w:r>
    <w:r>
      <w:rPr>
        <w:rFonts w:hint="eastAsia" w:cs="宋体"/>
        <w:szCs w:val="21"/>
        <w:lang w:eastAsia="zh-CN"/>
      </w:rPr>
      <w:t xml:space="preserve">JSZC-320506-SZCL-G2026-0003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1240" w:hanging="360"/>
        <w:tabs>
          <w:tab w:val="left" w:pos="1240" w:leader="none"/>
        </w:tabs>
      </w:pPr>
      <w:rPr>
        <w:rFonts w:hint="default"/>
      </w:r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1">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4">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5">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6">
    <w:multiLevelType w:val="hybridMultilevel"/>
    <w:lvl w:ilvl="0">
      <w:start w:val="1"/>
      <w:numFmt w:val="decimal"/>
      <w:isLgl w:val="false"/>
      <w:suff w:val="tab"/>
      <w:lvlText w:val="%1、"/>
      <w:lvlJc w:val="left"/>
      <w:pPr>
        <w:ind w:left="883"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nothing"/>
      <w:lvlText w:val="%1.%2"/>
      <w:lvlJc w:val="left"/>
      <w:pPr>
        <w:ind w:left="1701" w:hanging="567"/>
      </w:pPr>
    </w:lvl>
    <w:lvl w:ilvl="2">
      <w:start w:val="1"/>
      <w:numFmt w:val="decimal"/>
      <w:isLgl w:val="false"/>
      <w:suff w:val="nothing"/>
      <w:lvlText w:val="%1.%2.%3"/>
      <w:lvlJc w:val="left"/>
      <w:pPr>
        <w:ind w:left="1134" w:hanging="567"/>
      </w:pPr>
    </w:lvl>
    <w:lvl w:ilvl="3">
      <w:start w:val="1"/>
      <w:numFmt w:val="decimal"/>
      <w:isLgl w:val="false"/>
      <w:suff w:val="nothing"/>
      <w:lvlText w:val="%1.%2.%3.%4"/>
      <w:lvlJc w:val="left"/>
      <w:pPr>
        <w:ind w:left="6095"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next w:val="67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8">
    <w:name w:val="Heading 1"/>
    <w:basedOn w:val="667"/>
    <w:next w:val="667"/>
    <w:link w:val="762"/>
    <w:uiPriority w:val="0"/>
    <w:qFormat/>
    <w:pPr>
      <w:ind w:left="420" w:hanging="420"/>
      <w:keepLines/>
      <w:keepNext/>
      <w:spacing w:before="340" w:after="330" w:line="400" w:lineRule="exact"/>
      <w:outlineLvl w:val="0"/>
    </w:pPr>
    <w:rPr>
      <w:rFonts w:ascii="宋体" w:hAnsi="宋体"/>
      <w:b/>
      <w:bCs/>
      <w:sz w:val="20"/>
      <w:szCs w:val="21"/>
    </w:rPr>
  </w:style>
  <w:style w:type="paragraph" w:styleId="669">
    <w:name w:val="Heading 2"/>
    <w:basedOn w:val="667"/>
    <w:next w:val="680"/>
    <w:link w:val="911"/>
    <w:uiPriority w:val="0"/>
    <w:qFormat/>
    <w:pPr>
      <w:keepLines/>
      <w:keepNext/>
      <w:spacing w:before="260" w:after="260" w:line="416" w:lineRule="auto"/>
      <w:outlineLvl w:val="1"/>
    </w:pPr>
    <w:rPr>
      <w:rFonts w:ascii="Cambria" w:hAnsi="Cambria"/>
      <w:b/>
      <w:bCs/>
      <w:sz w:val="32"/>
      <w:szCs w:val="32"/>
    </w:rPr>
  </w:style>
  <w:style w:type="paragraph" w:styleId="670">
    <w:name w:val="Heading 3"/>
    <w:basedOn w:val="667"/>
    <w:next w:val="667"/>
    <w:link w:val="912"/>
    <w:uiPriority w:val="0"/>
    <w:qFormat/>
    <w:pPr>
      <w:keepLines/>
      <w:keepNext/>
      <w:spacing w:before="260" w:after="260" w:line="416" w:lineRule="auto"/>
      <w:outlineLvl w:val="2"/>
    </w:pPr>
    <w:rPr>
      <w:b/>
      <w:bCs/>
      <w:sz w:val="32"/>
      <w:szCs w:val="32"/>
    </w:rPr>
  </w:style>
  <w:style w:type="paragraph" w:styleId="671">
    <w:name w:val="Heading 4"/>
    <w:basedOn w:val="667"/>
    <w:next w:val="680"/>
    <w:link w:val="913"/>
    <w:uiPriority w:val="0"/>
    <w:qFormat/>
    <w:pPr>
      <w:keepLines/>
      <w:keepNext/>
      <w:spacing w:before="280" w:after="290" w:line="376" w:lineRule="auto"/>
      <w:outlineLvl w:val="3"/>
    </w:pPr>
    <w:rPr>
      <w:rFonts w:ascii="Cambria" w:hAnsi="Cambria"/>
      <w:b/>
      <w:bCs/>
      <w:sz w:val="28"/>
      <w:szCs w:val="28"/>
    </w:rPr>
  </w:style>
  <w:style w:type="paragraph" w:styleId="672">
    <w:name w:val="Heading 5"/>
    <w:basedOn w:val="667"/>
    <w:next w:val="680"/>
    <w:link w:val="914"/>
    <w:uiPriority w:val="0"/>
    <w:qFormat/>
    <w:pPr>
      <w:keepLines/>
      <w:keepNext/>
      <w:spacing w:before="280" w:after="290" w:line="376" w:lineRule="auto"/>
      <w:outlineLvl w:val="4"/>
    </w:pPr>
    <w:rPr>
      <w:rFonts w:ascii="Calibri" w:hAnsi="Calibri"/>
      <w:b/>
      <w:bCs/>
      <w:sz w:val="28"/>
      <w:szCs w:val="28"/>
    </w:rPr>
  </w:style>
  <w:style w:type="paragraph" w:styleId="673">
    <w:name w:val="Heading 6"/>
    <w:basedOn w:val="667"/>
    <w:next w:val="680"/>
    <w:link w:val="915"/>
    <w:uiPriority w:val="0"/>
    <w:qFormat/>
    <w:pPr>
      <w:keepLines/>
      <w:keepNext/>
      <w:spacing w:before="240" w:after="64" w:line="320" w:lineRule="auto"/>
      <w:outlineLvl w:val="5"/>
    </w:pPr>
    <w:rPr>
      <w:rFonts w:ascii="Cambria" w:hAnsi="Cambria"/>
      <w:b/>
      <w:bCs/>
      <w:sz w:val="24"/>
      <w:szCs w:val="24"/>
    </w:rPr>
  </w:style>
  <w:style w:type="paragraph" w:styleId="674">
    <w:name w:val="Heading 7"/>
    <w:basedOn w:val="667"/>
    <w:next w:val="680"/>
    <w:link w:val="916"/>
    <w:uiPriority w:val="0"/>
    <w:qFormat/>
    <w:pPr>
      <w:keepLines/>
      <w:keepNext/>
      <w:spacing w:before="240" w:after="64" w:line="320" w:lineRule="auto"/>
      <w:outlineLvl w:val="6"/>
    </w:pPr>
    <w:rPr>
      <w:rFonts w:ascii="Calibri" w:hAnsi="Calibri"/>
      <w:b/>
      <w:bCs/>
      <w:sz w:val="24"/>
      <w:szCs w:val="24"/>
    </w:rPr>
  </w:style>
  <w:style w:type="paragraph" w:styleId="675">
    <w:name w:val="Heading 8"/>
    <w:basedOn w:val="667"/>
    <w:next w:val="680"/>
    <w:link w:val="917"/>
    <w:uiPriority w:val="0"/>
    <w:qFormat/>
    <w:pPr>
      <w:keepLines/>
      <w:keepNext/>
      <w:spacing w:before="240" w:after="64" w:line="320" w:lineRule="auto"/>
      <w:outlineLvl w:val="7"/>
    </w:pPr>
    <w:rPr>
      <w:rFonts w:ascii="Cambria" w:hAnsi="Cambria"/>
      <w:sz w:val="24"/>
      <w:szCs w:val="24"/>
    </w:rPr>
  </w:style>
  <w:style w:type="paragraph" w:styleId="676">
    <w:name w:val="Heading 9"/>
    <w:basedOn w:val="667"/>
    <w:next w:val="680"/>
    <w:link w:val="918"/>
    <w:uiPriority w:val="0"/>
    <w:qFormat/>
    <w:pPr>
      <w:keepLines/>
      <w:keepNext/>
      <w:spacing w:before="240" w:after="64" w:line="320" w:lineRule="auto"/>
      <w:outlineLvl w:val="8"/>
    </w:pPr>
    <w:rPr>
      <w:rFonts w:ascii="Cambria" w:hAnsi="Cambria"/>
      <w:sz w:val="20"/>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Body Text Indent"/>
    <w:basedOn w:val="667"/>
    <w:next w:val="667"/>
    <w:link w:val="909"/>
    <w:uiPriority w:val="99"/>
    <w:unhideWhenUsed/>
    <w:qFormat/>
    <w:pPr>
      <w:ind w:left="420"/>
      <w:spacing w:after="120"/>
    </w:pPr>
  </w:style>
  <w:style w:type="paragraph" w:styleId="680">
    <w:name w:val="Normal Indent"/>
    <w:basedOn w:val="667"/>
    <w:link w:val="910"/>
    <w:uiPriority w:val="0"/>
    <w:qFormat/>
    <w:pPr>
      <w:ind w:firstLine="420"/>
      <w:jc w:val="left"/>
    </w:pPr>
    <w:rPr>
      <w:rFonts w:eastAsia="楷体_GB2312"/>
      <w:sz w:val="24"/>
      <w:szCs w:val="20"/>
    </w:rPr>
  </w:style>
  <w:style w:type="paragraph" w:styleId="681">
    <w:name w:val="toc 7"/>
    <w:basedOn w:val="668"/>
    <w:next w:val="667"/>
    <w:uiPriority w:val="0"/>
    <w:qFormat/>
    <w:pPr>
      <w:ind w:left="2520"/>
    </w:pPr>
    <w:rPr>
      <w:rFonts w:eastAsia="楷体_GB2312"/>
      <w:sz w:val="28"/>
      <w:szCs w:val="20"/>
    </w:rPr>
  </w:style>
  <w:style w:type="paragraph" w:styleId="682">
    <w:name w:val="index 8"/>
    <w:basedOn w:val="667"/>
    <w:next w:val="667"/>
    <w:uiPriority w:val="0"/>
    <w:qFormat/>
    <w:pPr>
      <w:ind w:left="2940"/>
    </w:pPr>
    <w:rPr>
      <w:rFonts w:eastAsia="楷体_GB2312"/>
      <w:sz w:val="28"/>
      <w:szCs w:val="20"/>
    </w:rPr>
  </w:style>
  <w:style w:type="paragraph" w:styleId="683">
    <w:name w:val="List Number"/>
    <w:basedOn w:val="667"/>
    <w:uiPriority w:val="0"/>
    <w:qFormat/>
    <w:pPr>
      <w:ind w:left="1125" w:hanging="555"/>
      <w:tabs>
        <w:tab w:val="left" w:pos="1125" w:leader="none"/>
      </w:tabs>
    </w:pPr>
    <w:rPr>
      <w:szCs w:val="24"/>
    </w:rPr>
  </w:style>
  <w:style w:type="paragraph" w:styleId="684">
    <w:name w:val="Caption"/>
    <w:basedOn w:val="667"/>
    <w:next w:val="667"/>
    <w:link w:val="919"/>
    <w:uiPriority w:val="0"/>
    <w:unhideWhenUsed/>
    <w:qFormat/>
    <w:rPr>
      <w:rFonts w:eastAsia="黑体" w:asciiTheme="majorHAnsi" w:hAnsiTheme="majorHAnsi" w:cstheme="majorBidi"/>
      <w:sz w:val="20"/>
      <w:szCs w:val="20"/>
    </w:rPr>
  </w:style>
  <w:style w:type="paragraph" w:styleId="685">
    <w:name w:val="index 5"/>
    <w:basedOn w:val="667"/>
    <w:next w:val="667"/>
    <w:uiPriority w:val="0"/>
    <w:qFormat/>
    <w:pPr>
      <w:ind w:left="1680"/>
    </w:pPr>
    <w:rPr>
      <w:rFonts w:eastAsia="楷体_GB2312"/>
      <w:sz w:val="28"/>
      <w:szCs w:val="20"/>
    </w:rPr>
  </w:style>
  <w:style w:type="paragraph" w:styleId="686">
    <w:name w:val="Document Map"/>
    <w:basedOn w:val="667"/>
    <w:link w:val="920"/>
    <w:uiPriority w:val="0"/>
    <w:unhideWhenUsed/>
    <w:qFormat/>
    <w:rPr>
      <w:rFonts w:ascii="宋体"/>
      <w:sz w:val="18"/>
      <w:szCs w:val="18"/>
    </w:rPr>
  </w:style>
  <w:style w:type="paragraph" w:styleId="687">
    <w:name w:val="annotation text"/>
    <w:basedOn w:val="667"/>
    <w:link w:val="921"/>
    <w:uiPriority w:val="0"/>
    <w:unhideWhenUsed/>
    <w:qFormat/>
    <w:pPr>
      <w:jc w:val="left"/>
    </w:pPr>
    <w:rPr>
      <w:sz w:val="20"/>
      <w:szCs w:val="24"/>
    </w:rPr>
  </w:style>
  <w:style w:type="paragraph" w:styleId="688">
    <w:name w:val="index 6"/>
    <w:basedOn w:val="667"/>
    <w:next w:val="667"/>
    <w:uiPriority w:val="0"/>
    <w:qFormat/>
    <w:pPr>
      <w:ind w:left="2100"/>
    </w:pPr>
    <w:rPr>
      <w:rFonts w:eastAsia="楷体_GB2312"/>
      <w:sz w:val="28"/>
      <w:szCs w:val="20"/>
    </w:rPr>
  </w:style>
  <w:style w:type="paragraph" w:styleId="689">
    <w:name w:val="Body Text"/>
    <w:basedOn w:val="667"/>
    <w:next w:val="667"/>
    <w:link w:val="922"/>
    <w:uiPriority w:val="0"/>
    <w:qFormat/>
    <w:rPr>
      <w:sz w:val="24"/>
      <w:szCs w:val="24"/>
    </w:rPr>
  </w:style>
  <w:style w:type="paragraph" w:styleId="690">
    <w:name w:val="List 2"/>
    <w:basedOn w:val="668"/>
    <w:next w:val="681"/>
    <w:uiPriority w:val="0"/>
    <w:qFormat/>
    <w:pPr>
      <w:ind w:left="100" w:hanging="200"/>
    </w:pPr>
    <w:rPr>
      <w:szCs w:val="24"/>
    </w:rPr>
  </w:style>
  <w:style w:type="paragraph" w:styleId="691">
    <w:name w:val="Block Text"/>
    <w:basedOn w:val="667"/>
    <w:uiPriority w:val="0"/>
    <w:qFormat/>
    <w:pPr>
      <w:ind w:left="630" w:right="-609" w:firstLine="420"/>
      <w:spacing w:line="360" w:lineRule="auto"/>
    </w:pPr>
    <w:rPr>
      <w:rFonts w:ascii="仿宋_GB2312" w:eastAsia="仿宋_GB2312"/>
      <w:szCs w:val="20"/>
    </w:rPr>
  </w:style>
  <w:style w:type="paragraph" w:styleId="692">
    <w:name w:val="index 4"/>
    <w:basedOn w:val="667"/>
    <w:next w:val="667"/>
    <w:uiPriority w:val="0"/>
    <w:qFormat/>
    <w:pPr>
      <w:ind w:left="1260"/>
    </w:pPr>
    <w:rPr>
      <w:rFonts w:eastAsia="楷体_GB2312"/>
      <w:sz w:val="28"/>
      <w:szCs w:val="20"/>
    </w:rPr>
  </w:style>
  <w:style w:type="paragraph" w:styleId="693">
    <w:name w:val="toc 5"/>
    <w:basedOn w:val="667"/>
    <w:next w:val="667"/>
    <w:uiPriority w:val="0"/>
    <w:qFormat/>
    <w:pPr>
      <w:ind w:left="1680"/>
    </w:pPr>
    <w:rPr>
      <w:rFonts w:eastAsia="楷体_GB2312"/>
      <w:sz w:val="28"/>
      <w:szCs w:val="20"/>
    </w:rPr>
  </w:style>
  <w:style w:type="paragraph" w:styleId="694">
    <w:name w:val="toc 3"/>
    <w:basedOn w:val="667"/>
    <w:next w:val="667"/>
    <w:uiPriority w:val="0"/>
    <w:qFormat/>
    <w:pPr>
      <w:ind w:left="840"/>
    </w:pPr>
    <w:rPr>
      <w:rFonts w:eastAsia="楷体_GB2312"/>
      <w:sz w:val="28"/>
      <w:szCs w:val="20"/>
    </w:rPr>
  </w:style>
  <w:style w:type="paragraph" w:styleId="695">
    <w:name w:val="Plain Text"/>
    <w:basedOn w:val="667"/>
    <w:link w:val="923"/>
    <w:uiPriority w:val="0"/>
    <w:qFormat/>
    <w:rPr>
      <w:rFonts w:ascii="宋体" w:hAnsi="Courier New" w:eastAsia="楷体_GB2312"/>
      <w:sz w:val="28"/>
      <w:szCs w:val="20"/>
    </w:rPr>
  </w:style>
  <w:style w:type="paragraph" w:styleId="696">
    <w:name w:val="toc 8"/>
    <w:basedOn w:val="667"/>
    <w:next w:val="667"/>
    <w:uiPriority w:val="0"/>
    <w:qFormat/>
    <w:pPr>
      <w:ind w:left="2940"/>
    </w:pPr>
    <w:rPr>
      <w:rFonts w:eastAsia="楷体_GB2312"/>
      <w:sz w:val="28"/>
      <w:szCs w:val="20"/>
    </w:rPr>
  </w:style>
  <w:style w:type="paragraph" w:styleId="697">
    <w:name w:val="index 3"/>
    <w:basedOn w:val="667"/>
    <w:next w:val="667"/>
    <w:uiPriority w:val="0"/>
    <w:qFormat/>
    <w:pPr>
      <w:ind w:left="840"/>
    </w:pPr>
    <w:rPr>
      <w:rFonts w:eastAsia="楷体_GB2312"/>
      <w:sz w:val="28"/>
      <w:szCs w:val="20"/>
    </w:rPr>
  </w:style>
  <w:style w:type="paragraph" w:styleId="698">
    <w:name w:val="Date"/>
    <w:basedOn w:val="668"/>
    <w:next w:val="667"/>
    <w:link w:val="924"/>
    <w:uiPriority w:val="0"/>
    <w:qFormat/>
    <w:rPr>
      <w:rFonts w:eastAsia="楷体_GB2312"/>
      <w:sz w:val="24"/>
      <w:szCs w:val="20"/>
    </w:rPr>
  </w:style>
  <w:style w:type="paragraph" w:styleId="699">
    <w:name w:val="Body Text Indent 2"/>
    <w:basedOn w:val="667"/>
    <w:link w:val="925"/>
    <w:uiPriority w:val="0"/>
    <w:qFormat/>
    <w:pPr>
      <w:ind w:left="1" w:firstLine="480"/>
      <w:spacing w:line="400" w:lineRule="exact"/>
      <w:tabs>
        <w:tab w:val="left" w:pos="360" w:leader="none"/>
      </w:tabs>
    </w:pPr>
    <w:rPr>
      <w:sz w:val="24"/>
      <w:szCs w:val="24"/>
    </w:rPr>
  </w:style>
  <w:style w:type="paragraph" w:styleId="700">
    <w:name w:val="endnote text"/>
    <w:basedOn w:val="667"/>
    <w:link w:val="907"/>
    <w:uiPriority w:val="99"/>
    <w:semiHidden/>
    <w:unhideWhenUsed/>
    <w:qFormat/>
    <w:rPr>
      <w:sz w:val="20"/>
    </w:rPr>
  </w:style>
  <w:style w:type="paragraph" w:styleId="701">
    <w:name w:val="Balloon Text"/>
    <w:basedOn w:val="667"/>
    <w:link w:val="926"/>
    <w:uiPriority w:val="0"/>
    <w:unhideWhenUsed/>
    <w:qFormat/>
    <w:rPr>
      <w:sz w:val="18"/>
      <w:szCs w:val="18"/>
    </w:rPr>
  </w:style>
  <w:style w:type="paragraph" w:styleId="702">
    <w:name w:val="Footer"/>
    <w:basedOn w:val="667"/>
    <w:link w:val="927"/>
    <w:uiPriority w:val="0"/>
    <w:unhideWhenUsed/>
    <w:qFormat/>
    <w:pPr>
      <w:jc w:val="left"/>
      <w:tabs>
        <w:tab w:val="center" w:pos="4153" w:leader="none"/>
        <w:tab w:val="right" w:pos="8306" w:leader="none"/>
      </w:tabs>
    </w:pPr>
    <w:rPr>
      <w:sz w:val="18"/>
      <w:szCs w:val="18"/>
    </w:rPr>
  </w:style>
  <w:style w:type="paragraph" w:styleId="703">
    <w:name w:val="envelope return"/>
    <w:basedOn w:val="667"/>
    <w:uiPriority w:val="99"/>
    <w:unhideWhenUsed/>
    <w:qFormat/>
    <w:rPr>
      <w:rFonts w:ascii="Arial" w:hAnsi="Arial"/>
      <w:szCs w:val="24"/>
    </w:rPr>
  </w:style>
  <w:style w:type="paragraph" w:styleId="704">
    <w:name w:val="Header"/>
    <w:basedOn w:val="668"/>
    <w:next w:val="698"/>
    <w:link w:val="92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67"/>
    <w:next w:val="667"/>
    <w:uiPriority w:val="0"/>
    <w:qFormat/>
    <w:pPr>
      <w:jc w:val="left"/>
      <w:widowControl/>
    </w:pPr>
    <w:rPr>
      <w:rFonts w:eastAsia="楷体_GB2312"/>
      <w:sz w:val="24"/>
      <w:szCs w:val="20"/>
    </w:rPr>
  </w:style>
  <w:style w:type="paragraph" w:styleId="706">
    <w:name w:val="toc 4"/>
    <w:basedOn w:val="667"/>
    <w:next w:val="667"/>
    <w:uiPriority w:val="0"/>
    <w:qFormat/>
    <w:pPr>
      <w:ind w:left="1260"/>
    </w:pPr>
    <w:rPr>
      <w:rFonts w:eastAsia="楷体_GB2312"/>
      <w:sz w:val="28"/>
      <w:szCs w:val="20"/>
    </w:rPr>
  </w:style>
  <w:style w:type="paragraph" w:styleId="707">
    <w:name w:val="index heading"/>
    <w:basedOn w:val="667"/>
    <w:next w:val="708"/>
    <w:uiPriority w:val="0"/>
    <w:qFormat/>
    <w:rPr>
      <w:rFonts w:eastAsia="楷体_GB2312"/>
      <w:sz w:val="28"/>
      <w:szCs w:val="20"/>
    </w:rPr>
  </w:style>
  <w:style w:type="paragraph" w:styleId="708">
    <w:name w:val="index 1"/>
    <w:basedOn w:val="667"/>
    <w:next w:val="667"/>
    <w:uiPriority w:val="0"/>
    <w:qFormat/>
    <w:rPr>
      <w:rFonts w:eastAsia="楷体_GB2312"/>
      <w:sz w:val="28"/>
      <w:szCs w:val="20"/>
    </w:rPr>
  </w:style>
  <w:style w:type="paragraph" w:styleId="709">
    <w:name w:val="Subtitle"/>
    <w:basedOn w:val="667"/>
    <w:next w:val="667"/>
    <w:link w:val="773"/>
    <w:uiPriority w:val="11"/>
    <w:qFormat/>
    <w:pPr>
      <w:spacing w:before="200" w:after="200"/>
    </w:pPr>
    <w:rPr>
      <w:sz w:val="24"/>
      <w:szCs w:val="24"/>
    </w:rPr>
  </w:style>
  <w:style w:type="paragraph" w:styleId="710">
    <w:name w:val="footnote text"/>
    <w:basedOn w:val="667"/>
    <w:link w:val="929"/>
    <w:uiPriority w:val="0"/>
    <w:qFormat/>
    <w:pPr>
      <w:jc w:val="left"/>
    </w:pPr>
    <w:rPr>
      <w:rFonts w:eastAsia="楷体_GB2312"/>
      <w:sz w:val="18"/>
      <w:szCs w:val="20"/>
    </w:rPr>
  </w:style>
  <w:style w:type="paragraph" w:styleId="711">
    <w:name w:val="toc 6"/>
    <w:basedOn w:val="667"/>
    <w:next w:val="667"/>
    <w:uiPriority w:val="0"/>
    <w:qFormat/>
    <w:pPr>
      <w:ind w:left="2100"/>
    </w:pPr>
    <w:rPr>
      <w:rFonts w:eastAsia="楷体_GB2312"/>
      <w:sz w:val="28"/>
      <w:szCs w:val="20"/>
    </w:rPr>
  </w:style>
  <w:style w:type="paragraph" w:styleId="712">
    <w:name w:val="Body Text Indent 3"/>
    <w:basedOn w:val="667"/>
    <w:link w:val="930"/>
    <w:uiPriority w:val="99"/>
    <w:qFormat/>
    <w:pPr>
      <w:ind w:firstLine="480"/>
      <w:spacing w:line="400" w:lineRule="exact"/>
    </w:pPr>
    <w:rPr>
      <w:sz w:val="24"/>
      <w:szCs w:val="24"/>
    </w:rPr>
  </w:style>
  <w:style w:type="paragraph" w:styleId="713">
    <w:name w:val="index 7"/>
    <w:basedOn w:val="667"/>
    <w:next w:val="667"/>
    <w:uiPriority w:val="0"/>
    <w:qFormat/>
    <w:pPr>
      <w:ind w:left="2520"/>
    </w:pPr>
    <w:rPr>
      <w:rFonts w:eastAsia="楷体_GB2312"/>
      <w:sz w:val="28"/>
      <w:szCs w:val="20"/>
    </w:rPr>
  </w:style>
  <w:style w:type="paragraph" w:styleId="714">
    <w:name w:val="index 9"/>
    <w:basedOn w:val="667"/>
    <w:next w:val="667"/>
    <w:uiPriority w:val="0"/>
    <w:qFormat/>
    <w:pPr>
      <w:ind w:left="3360"/>
    </w:pPr>
    <w:rPr>
      <w:rFonts w:eastAsia="楷体_GB2312"/>
      <w:sz w:val="28"/>
      <w:szCs w:val="20"/>
    </w:rPr>
  </w:style>
  <w:style w:type="paragraph" w:styleId="715">
    <w:name w:val="table of figures"/>
    <w:basedOn w:val="667"/>
    <w:next w:val="667"/>
    <w:uiPriority w:val="0"/>
    <w:qFormat/>
    <w:pPr>
      <w:ind w:left="420" w:hanging="420"/>
      <w:jc w:val="left"/>
    </w:pPr>
    <w:rPr>
      <w:rFonts w:eastAsia="楷体_GB2312"/>
      <w:smallCaps/>
      <w:sz w:val="24"/>
      <w:szCs w:val="20"/>
    </w:rPr>
  </w:style>
  <w:style w:type="paragraph" w:styleId="716">
    <w:name w:val="toc 2"/>
    <w:basedOn w:val="667"/>
    <w:next w:val="667"/>
    <w:uiPriority w:val="0"/>
    <w:qFormat/>
    <w:pPr>
      <w:ind w:left="420"/>
    </w:pPr>
    <w:rPr>
      <w:rFonts w:eastAsia="楷体_GB2312"/>
      <w:sz w:val="28"/>
      <w:szCs w:val="20"/>
    </w:rPr>
  </w:style>
  <w:style w:type="paragraph" w:styleId="717">
    <w:name w:val="toc 9"/>
    <w:basedOn w:val="667"/>
    <w:next w:val="667"/>
    <w:uiPriority w:val="0"/>
    <w:qFormat/>
    <w:pPr>
      <w:ind w:left="3360"/>
    </w:pPr>
    <w:rPr>
      <w:rFonts w:eastAsia="楷体_GB2312"/>
      <w:sz w:val="28"/>
      <w:szCs w:val="20"/>
    </w:rPr>
  </w:style>
  <w:style w:type="paragraph" w:styleId="718">
    <w:name w:val="Body Text 2"/>
    <w:basedOn w:val="667"/>
    <w:link w:val="931"/>
    <w:uiPriority w:val="0"/>
    <w:qFormat/>
    <w:pPr>
      <w:spacing w:after="120" w:line="480" w:lineRule="auto"/>
    </w:pPr>
    <w:rPr>
      <w:rFonts w:eastAsia="楷体_GB2312"/>
      <w:sz w:val="28"/>
      <w:szCs w:val="20"/>
    </w:rPr>
  </w:style>
  <w:style w:type="paragraph" w:styleId="719">
    <w:name w:val="HTML Preformatted"/>
    <w:basedOn w:val="667"/>
    <w:link w:val="11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20">
    <w:name w:val="Normal (Web)"/>
    <w:basedOn w:val="667"/>
    <w:next w:val="690"/>
    <w:uiPriority w:val="0"/>
    <w:unhideWhenUsed/>
    <w:qFormat/>
    <w:pPr>
      <w:ind w:left="40" w:right="40"/>
      <w:jc w:val="left"/>
      <w:spacing w:before="40" w:after="40" w:line="300" w:lineRule="atLeast"/>
    </w:pPr>
    <w:rPr>
      <w:sz w:val="24"/>
      <w:szCs w:val="20"/>
    </w:rPr>
  </w:style>
  <w:style w:type="paragraph" w:styleId="721">
    <w:name w:val="index 2"/>
    <w:basedOn w:val="667"/>
    <w:next w:val="667"/>
    <w:uiPriority w:val="0"/>
    <w:qFormat/>
    <w:pPr>
      <w:ind w:left="420"/>
    </w:pPr>
    <w:rPr>
      <w:rFonts w:eastAsia="楷体_GB2312"/>
      <w:sz w:val="28"/>
      <w:szCs w:val="20"/>
    </w:rPr>
  </w:style>
  <w:style w:type="paragraph" w:styleId="722">
    <w:name w:val="Title"/>
    <w:basedOn w:val="667"/>
    <w:next w:val="667"/>
    <w:link w:val="772"/>
    <w:uiPriority w:val="10"/>
    <w:qFormat/>
    <w:pPr>
      <w:contextualSpacing/>
      <w:spacing w:before="300" w:after="200"/>
    </w:pPr>
    <w:rPr>
      <w:sz w:val="48"/>
      <w:szCs w:val="48"/>
    </w:rPr>
  </w:style>
  <w:style w:type="paragraph" w:styleId="723">
    <w:name w:val="annotation subject"/>
    <w:basedOn w:val="687"/>
    <w:next w:val="687"/>
    <w:link w:val="932"/>
    <w:uiPriority w:val="0"/>
    <w:unhideWhenUsed/>
    <w:qFormat/>
    <w:rPr>
      <w:b/>
      <w:bCs/>
    </w:rPr>
  </w:style>
  <w:style w:type="paragraph" w:styleId="724">
    <w:name w:val="Body Text First Indent"/>
    <w:basedOn w:val="689"/>
    <w:link w:val="1117"/>
    <w:uiPriority w:val="0"/>
    <w:qFormat/>
    <w:pPr>
      <w:ind w:firstLine="420"/>
      <w:spacing w:after="120"/>
    </w:pPr>
    <w:rPr>
      <w:rFonts w:eastAsia="楷体_GB2312"/>
      <w:sz w:val="26"/>
      <w:szCs w:val="20"/>
    </w:rPr>
  </w:style>
  <w:style w:type="paragraph" w:styleId="725">
    <w:name w:val="Body Text First Indent 2"/>
    <w:basedOn w:val="679"/>
    <w:uiPriority w:val="99"/>
    <w:unhideWhenUsed/>
    <w:qFormat/>
    <w:pPr>
      <w:ind w:firstLine="420"/>
      <w:spacing w:before="100" w:beforeAutospacing="1"/>
    </w:pPr>
    <w:rPr>
      <w:rFonts w:ascii="Calibri" w:hAnsi="Calibri" w:cs="宋体"/>
      <w:sz w:val="20"/>
      <w:szCs w:val="20"/>
    </w:rPr>
  </w:style>
  <w:style w:type="table" w:styleId="726">
    <w:name w:val="Table Grid"/>
    <w:basedOn w:val="67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7">
    <w:name w:val="Table Elegant"/>
    <w:basedOn w:val="678"/>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28">
    <w:name w:val="Strong"/>
    <w:uiPriority w:val="0"/>
    <w:qFormat/>
    <w:rPr>
      <w:rFonts w:ascii="Tahoma" w:hAnsi="Tahoma" w:eastAsia="宋体"/>
      <w:b/>
      <w:bCs/>
      <w:sz w:val="24"/>
      <w:lang w:val="en-US" w:eastAsia="zh-CN" w:bidi="ar-SA"/>
    </w:rPr>
  </w:style>
  <w:style w:type="character" w:styleId="729">
    <w:name w:val="endnote reference"/>
    <w:basedOn w:val="677"/>
    <w:uiPriority w:val="99"/>
    <w:semiHidden/>
    <w:unhideWhenUsed/>
    <w:qFormat/>
    <w:rPr>
      <w:vertAlign w:val="superscript"/>
    </w:rPr>
  </w:style>
  <w:style w:type="character" w:styleId="730">
    <w:name w:val="page number"/>
    <w:uiPriority w:val="0"/>
    <w:unhideWhenUsed/>
    <w:qFormat/>
  </w:style>
  <w:style w:type="character" w:styleId="731">
    <w:name w:val="FollowedHyperlink"/>
    <w:uiPriority w:val="99"/>
    <w:unhideWhenUsed/>
    <w:qFormat/>
    <w:rPr>
      <w:color w:val="800080"/>
      <w:u w:val="single"/>
    </w:rPr>
  </w:style>
  <w:style w:type="character" w:styleId="732">
    <w:name w:val="Emphasis"/>
    <w:uiPriority w:val="20"/>
    <w:qFormat/>
    <w:rPr>
      <w:i/>
    </w:rPr>
  </w:style>
  <w:style w:type="character" w:styleId="733">
    <w:name w:val="Hyperlink"/>
    <w:uiPriority w:val="99"/>
    <w:unhideWhenUsed/>
    <w:qFormat/>
    <w:rPr>
      <w:color w:val="0000ff"/>
      <w:u w:val="single"/>
    </w:rPr>
  </w:style>
  <w:style w:type="character" w:styleId="734">
    <w:name w:val="annotation reference"/>
    <w:uiPriority w:val="0"/>
    <w:unhideWhenUsed/>
    <w:qFormat/>
    <w:rPr>
      <w:sz w:val="21"/>
      <w:szCs w:val="21"/>
    </w:rPr>
  </w:style>
  <w:style w:type="character" w:styleId="735">
    <w:name w:val="footnote reference"/>
    <w:uiPriority w:val="0"/>
    <w:qFormat/>
    <w:rPr>
      <w:vertAlign w:val="superscript"/>
    </w:rPr>
  </w:style>
  <w:style w:type="character" w:styleId="736" w:customStyle="1">
    <w:name w:val="Title Char"/>
    <w:basedOn w:val="677"/>
    <w:uiPriority w:val="10"/>
    <w:rPr>
      <w:sz w:val="48"/>
      <w:szCs w:val="48"/>
    </w:rPr>
  </w:style>
  <w:style w:type="character" w:styleId="737" w:customStyle="1">
    <w:name w:val="Subtitle Char"/>
    <w:basedOn w:val="677"/>
    <w:uiPriority w:val="11"/>
    <w:qFormat/>
    <w:rPr>
      <w:sz w:val="24"/>
      <w:szCs w:val="24"/>
    </w:rPr>
  </w:style>
  <w:style w:type="character" w:styleId="738" w:customStyle="1">
    <w:name w:val="Quote Char"/>
    <w:uiPriority w:val="29"/>
    <w:rPr>
      <w:i/>
    </w:rPr>
  </w:style>
  <w:style w:type="character" w:styleId="739" w:customStyle="1">
    <w:name w:val="Intense Quote Char"/>
    <w:uiPriority w:val="30"/>
    <w:rPr>
      <w:i/>
    </w:rPr>
  </w:style>
  <w:style w:type="table" w:styleId="740" w:customStyle="1">
    <w:name w:val="Plain Table 1"/>
    <w:basedOn w:val="67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7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7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7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7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7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7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7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7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7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7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7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7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7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7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7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7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Endnote Text Char"/>
    <w:uiPriority w:val="99"/>
    <w:rPr>
      <w:sz w:val="20"/>
    </w:rPr>
  </w:style>
  <w:style w:type="paragraph" w:styleId="760" w:customStyle="1">
    <w:name w:val="TOC Heading"/>
    <w:uiPriority w:val="39"/>
    <w:unhideWhenUsed/>
    <w:rPr>
      <w:rFonts w:hint="default" w:ascii="Times New Roman" w:hAnsi="Times New Roman" w:eastAsia="宋体" w:cs="Times New Roman"/>
    </w:rPr>
  </w:style>
  <w:style w:type="paragraph" w:styleId="761" w:customStyle="1">
    <w:name w:val="目录 51"/>
    <w:next w:val="667"/>
    <w:uiPriority w:val="0"/>
    <w:qFormat/>
    <w:pPr>
      <w:ind w:left="1275"/>
      <w:jc w:val="both"/>
    </w:pPr>
    <w:rPr>
      <w:rFonts w:hint="default" w:ascii="Calibri" w:hAnsi="Calibri" w:eastAsia="宋体" w:cs="Times New Roman"/>
      <w:sz w:val="21"/>
      <w:lang w:val="en-US" w:eastAsia="zh-CN" w:bidi="ar-SA"/>
    </w:rPr>
  </w:style>
  <w:style w:type="character" w:styleId="762" w:customStyle="1">
    <w:name w:val="标题 1 字符"/>
    <w:link w:val="668"/>
    <w:uiPriority w:val="0"/>
    <w:qFormat/>
    <w:rPr>
      <w:rFonts w:ascii="宋体" w:hAnsi="宋体"/>
      <w:b/>
      <w:bCs/>
      <w:szCs w:val="21"/>
    </w:rPr>
  </w:style>
  <w:style w:type="paragraph" w:styleId="763" w:customStyle="1">
    <w:name w:val="段"/>
    <w:next w:val="667"/>
    <w:link w:val="1190"/>
    <w:uiPriority w:val="0"/>
    <w:qFormat/>
    <w:pPr>
      <w:ind w:firstLine="200"/>
      <w:jc w:val="both"/>
    </w:pPr>
    <w:rPr>
      <w:rFonts w:hint="default" w:ascii="宋体" w:hAnsi="Times New Roman" w:eastAsia="宋体" w:cs="Times New Roman"/>
      <w:sz w:val="21"/>
      <w:lang w:val="en-US" w:eastAsia="zh-CN" w:bidi="ar-SA"/>
    </w:rPr>
  </w:style>
  <w:style w:type="character" w:styleId="764" w:customStyle="1">
    <w:name w:val="Heading 2 Char"/>
    <w:basedOn w:val="677"/>
    <w:uiPriority w:val="9"/>
    <w:qFormat/>
    <w:rPr>
      <w:rFonts w:ascii="Arial" w:hAnsi="Arial" w:eastAsia="Arial" w:cs="Arial"/>
      <w:sz w:val="34"/>
    </w:rPr>
  </w:style>
  <w:style w:type="character" w:styleId="765" w:customStyle="1">
    <w:name w:val="Heading 3 Char"/>
    <w:basedOn w:val="677"/>
    <w:uiPriority w:val="9"/>
    <w:qFormat/>
    <w:rPr>
      <w:rFonts w:ascii="Arial" w:hAnsi="Arial" w:eastAsia="Arial" w:cs="Arial"/>
      <w:sz w:val="30"/>
      <w:szCs w:val="30"/>
    </w:rPr>
  </w:style>
  <w:style w:type="character" w:styleId="766" w:customStyle="1">
    <w:name w:val="Heading 4 Char"/>
    <w:basedOn w:val="677"/>
    <w:uiPriority w:val="9"/>
    <w:qFormat/>
    <w:rPr>
      <w:rFonts w:ascii="Arial" w:hAnsi="Arial" w:eastAsia="Arial" w:cs="Arial"/>
      <w:b/>
      <w:bCs/>
      <w:sz w:val="26"/>
      <w:szCs w:val="26"/>
    </w:rPr>
  </w:style>
  <w:style w:type="character" w:styleId="767" w:customStyle="1">
    <w:name w:val="Heading 5 Char"/>
    <w:basedOn w:val="677"/>
    <w:uiPriority w:val="9"/>
    <w:qFormat/>
    <w:rPr>
      <w:rFonts w:ascii="Arial" w:hAnsi="Arial" w:eastAsia="Arial" w:cs="Arial"/>
      <w:b/>
      <w:bCs/>
      <w:sz w:val="24"/>
      <w:szCs w:val="24"/>
    </w:rPr>
  </w:style>
  <w:style w:type="character" w:styleId="768" w:customStyle="1">
    <w:name w:val="Heading 6 Char"/>
    <w:basedOn w:val="677"/>
    <w:uiPriority w:val="9"/>
    <w:qFormat/>
    <w:rPr>
      <w:rFonts w:ascii="Arial" w:hAnsi="Arial" w:eastAsia="Arial" w:cs="Arial"/>
      <w:b/>
      <w:bCs/>
      <w:sz w:val="22"/>
      <w:szCs w:val="22"/>
    </w:rPr>
  </w:style>
  <w:style w:type="character" w:styleId="769" w:customStyle="1">
    <w:name w:val="Heading 7 Char"/>
    <w:basedOn w:val="677"/>
    <w:uiPriority w:val="9"/>
    <w:qFormat/>
    <w:rPr>
      <w:rFonts w:ascii="Arial" w:hAnsi="Arial" w:eastAsia="Arial" w:cs="Arial"/>
      <w:b/>
      <w:bCs/>
      <w:i/>
      <w:iCs/>
      <w:sz w:val="22"/>
      <w:szCs w:val="22"/>
    </w:rPr>
  </w:style>
  <w:style w:type="character" w:styleId="770" w:customStyle="1">
    <w:name w:val="Heading 8 Char"/>
    <w:basedOn w:val="677"/>
    <w:uiPriority w:val="9"/>
    <w:qFormat/>
    <w:rPr>
      <w:rFonts w:ascii="Arial" w:hAnsi="Arial" w:eastAsia="Arial" w:cs="Arial"/>
      <w:i/>
      <w:iCs/>
      <w:sz w:val="22"/>
      <w:szCs w:val="22"/>
    </w:rPr>
  </w:style>
  <w:style w:type="character" w:styleId="771" w:customStyle="1">
    <w:name w:val="Heading 9 Char"/>
    <w:basedOn w:val="677"/>
    <w:uiPriority w:val="9"/>
    <w:qFormat/>
    <w:rPr>
      <w:rFonts w:ascii="Arial" w:hAnsi="Arial" w:eastAsia="Arial" w:cs="Arial"/>
      <w:i/>
      <w:iCs/>
      <w:sz w:val="21"/>
      <w:szCs w:val="21"/>
    </w:rPr>
  </w:style>
  <w:style w:type="character" w:styleId="772" w:customStyle="1">
    <w:name w:val="标题 字符"/>
    <w:basedOn w:val="677"/>
    <w:link w:val="722"/>
    <w:uiPriority w:val="10"/>
    <w:qFormat/>
    <w:rPr>
      <w:sz w:val="48"/>
      <w:szCs w:val="48"/>
    </w:rPr>
  </w:style>
  <w:style w:type="character" w:styleId="773" w:customStyle="1">
    <w:name w:val="副标题 字符"/>
    <w:basedOn w:val="677"/>
    <w:link w:val="709"/>
    <w:uiPriority w:val="11"/>
    <w:qFormat/>
    <w:rPr>
      <w:sz w:val="24"/>
      <w:szCs w:val="24"/>
    </w:rPr>
  </w:style>
  <w:style w:type="paragraph" w:styleId="774">
    <w:name w:val="Quote"/>
    <w:basedOn w:val="667"/>
    <w:next w:val="667"/>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67"/>
    <w:next w:val="667"/>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basedOn w:val="677"/>
    <w:uiPriority w:val="99"/>
    <w:qFormat/>
  </w:style>
  <w:style w:type="character" w:styleId="779" w:customStyle="1">
    <w:name w:val="Footer Char"/>
    <w:basedOn w:val="677"/>
    <w:uiPriority w:val="99"/>
    <w:qFormat/>
  </w:style>
  <w:style w:type="character" w:styleId="780" w:customStyle="1">
    <w:name w:val="Caption Char"/>
    <w:uiPriority w:val="99"/>
    <w:qFormat/>
  </w:style>
  <w:style w:type="table" w:styleId="781" w:customStyle="1">
    <w:name w:val="Table Grid Light"/>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2" w:customStyle="1">
    <w:name w:val="无格式表格 1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6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6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6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6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6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6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6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6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6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6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67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67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6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6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6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6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67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67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6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6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6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6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6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6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6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6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6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basedOn w:val="6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6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6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6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6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6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6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6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6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6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67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67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67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67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67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67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6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6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6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6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6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6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6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6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6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6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6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6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6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6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6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6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6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6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6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6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6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6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6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6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6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67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67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67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67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67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67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basedOn w:val="6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67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67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67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67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67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67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6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6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6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6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6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6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6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6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6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6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6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6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6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6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uiPriority w:val="99"/>
    <w:qFormat/>
    <w:rPr>
      <w:sz w:val="18"/>
    </w:rPr>
  </w:style>
  <w:style w:type="character" w:styleId="907" w:customStyle="1">
    <w:name w:val="尾注文本 字符"/>
    <w:link w:val="700"/>
    <w:uiPriority w:val="99"/>
    <w:qFormat/>
    <w:rPr>
      <w:sz w:val="20"/>
    </w:rPr>
  </w:style>
  <w:style w:type="paragraph" w:styleId="908" w:customStyle="1">
    <w:name w:val="TOC 标题1"/>
    <w:uiPriority w:val="39"/>
    <w:unhideWhenUsed/>
    <w:qFormat/>
    <w:rPr>
      <w:rFonts w:hint="default" w:ascii="Times New Roman" w:hAnsi="Times New Roman" w:eastAsia="宋体" w:cs="Times New Roman"/>
      <w:lang w:val="en-US" w:eastAsia="zh-CN" w:bidi="ar-SA"/>
    </w:rPr>
  </w:style>
  <w:style w:type="character" w:styleId="909" w:customStyle="1">
    <w:name w:val="正文文本缩进 字符"/>
    <w:basedOn w:val="677"/>
    <w:link w:val="679"/>
    <w:uiPriority w:val="99"/>
    <w:qFormat/>
    <w:rPr>
      <w:sz w:val="21"/>
      <w:szCs w:val="22"/>
    </w:rPr>
  </w:style>
  <w:style w:type="character" w:styleId="910" w:customStyle="1">
    <w:name w:val="正文缩进 字符"/>
    <w:link w:val="680"/>
    <w:uiPriority w:val="0"/>
    <w:qFormat/>
    <w:rPr>
      <w:rFonts w:ascii="Times New Roman" w:hAnsi="Times New Roman" w:eastAsia="楷体_GB2312" w:cs="Times New Roman"/>
      <w:sz w:val="24"/>
      <w:szCs w:val="20"/>
    </w:rPr>
  </w:style>
  <w:style w:type="character" w:styleId="911" w:customStyle="1">
    <w:name w:val="标题 2 字符"/>
    <w:link w:val="669"/>
    <w:uiPriority w:val="0"/>
    <w:qFormat/>
    <w:rPr>
      <w:rFonts w:ascii="Cambria" w:hAnsi="Cambria" w:eastAsia="宋体" w:cs="Times New Roman"/>
      <w:b/>
      <w:bCs/>
      <w:sz w:val="32"/>
      <w:szCs w:val="32"/>
    </w:rPr>
  </w:style>
  <w:style w:type="character" w:styleId="912" w:customStyle="1">
    <w:name w:val="标题 3 字符"/>
    <w:link w:val="670"/>
    <w:uiPriority w:val="0"/>
    <w:qFormat/>
    <w:rPr>
      <w:rFonts w:ascii="Times New Roman" w:hAnsi="Times New Roman" w:eastAsia="宋体" w:cs="Times New Roman"/>
      <w:b/>
      <w:bCs/>
      <w:sz w:val="32"/>
      <w:szCs w:val="32"/>
    </w:rPr>
  </w:style>
  <w:style w:type="character" w:styleId="913" w:customStyle="1">
    <w:name w:val="标题 4 字符"/>
    <w:link w:val="671"/>
    <w:uiPriority w:val="0"/>
    <w:qFormat/>
    <w:rPr>
      <w:rFonts w:ascii="Cambria" w:hAnsi="Cambria" w:eastAsia="宋体" w:cs="Times New Roman"/>
      <w:b/>
      <w:bCs/>
      <w:sz w:val="28"/>
      <w:szCs w:val="28"/>
    </w:rPr>
  </w:style>
  <w:style w:type="character" w:styleId="914" w:customStyle="1">
    <w:name w:val="标题 5 字符"/>
    <w:link w:val="672"/>
    <w:uiPriority w:val="0"/>
    <w:qFormat/>
    <w:rPr>
      <w:rFonts w:ascii="Calibri" w:hAnsi="Calibri" w:eastAsia="宋体" w:cs="Times New Roman"/>
      <w:b/>
      <w:bCs/>
      <w:sz w:val="28"/>
      <w:szCs w:val="28"/>
    </w:rPr>
  </w:style>
  <w:style w:type="character" w:styleId="915" w:customStyle="1">
    <w:name w:val="标题 6 字符"/>
    <w:link w:val="673"/>
    <w:uiPriority w:val="0"/>
    <w:qFormat/>
    <w:rPr>
      <w:rFonts w:ascii="Cambria" w:hAnsi="Cambria" w:eastAsia="宋体" w:cs="Times New Roman"/>
      <w:b/>
      <w:bCs/>
      <w:sz w:val="24"/>
      <w:szCs w:val="24"/>
    </w:rPr>
  </w:style>
  <w:style w:type="character" w:styleId="916" w:customStyle="1">
    <w:name w:val="标题 7 字符"/>
    <w:link w:val="674"/>
    <w:uiPriority w:val="0"/>
    <w:qFormat/>
    <w:rPr>
      <w:rFonts w:ascii="Calibri" w:hAnsi="Calibri" w:eastAsia="宋体" w:cs="Times New Roman"/>
      <w:b/>
      <w:bCs/>
      <w:sz w:val="24"/>
      <w:szCs w:val="24"/>
    </w:rPr>
  </w:style>
  <w:style w:type="character" w:styleId="917" w:customStyle="1">
    <w:name w:val="标题 8 字符"/>
    <w:link w:val="675"/>
    <w:uiPriority w:val="0"/>
    <w:qFormat/>
    <w:rPr>
      <w:rFonts w:ascii="Cambria" w:hAnsi="Cambria" w:eastAsia="宋体" w:cs="Times New Roman"/>
      <w:sz w:val="24"/>
      <w:szCs w:val="24"/>
    </w:rPr>
  </w:style>
  <w:style w:type="character" w:styleId="918" w:customStyle="1">
    <w:name w:val="标题 9 字符"/>
    <w:link w:val="676"/>
    <w:uiPriority w:val="0"/>
    <w:qFormat/>
    <w:rPr>
      <w:rFonts w:ascii="Cambria" w:hAnsi="Cambria" w:eastAsia="宋体" w:cs="Times New Roman"/>
      <w:sz w:val="20"/>
      <w:szCs w:val="21"/>
    </w:rPr>
  </w:style>
  <w:style w:type="character" w:styleId="919" w:customStyle="1">
    <w:name w:val="题注 字符"/>
    <w:link w:val="684"/>
    <w:uiPriority w:val="0"/>
    <w:qFormat/>
  </w:style>
  <w:style w:type="character" w:styleId="920" w:customStyle="1">
    <w:name w:val="文档结构图 字符"/>
    <w:link w:val="686"/>
    <w:uiPriority w:val="0"/>
    <w:qFormat/>
    <w:rPr>
      <w:rFonts w:ascii="宋体" w:eastAsia="宋体"/>
      <w:sz w:val="18"/>
      <w:szCs w:val="18"/>
    </w:rPr>
  </w:style>
  <w:style w:type="character" w:styleId="921" w:customStyle="1">
    <w:name w:val="批注文字 字符1"/>
    <w:link w:val="687"/>
    <w:uiPriority w:val="0"/>
    <w:qFormat/>
    <w:rPr>
      <w:rFonts w:ascii="Times New Roman" w:hAnsi="Times New Roman" w:eastAsia="宋体" w:cs="Times New Roman"/>
      <w:szCs w:val="24"/>
    </w:rPr>
  </w:style>
  <w:style w:type="character" w:styleId="922" w:customStyle="1">
    <w:name w:val="正文文本 字符"/>
    <w:link w:val="689"/>
    <w:uiPriority w:val="0"/>
    <w:qFormat/>
    <w:rPr>
      <w:rFonts w:ascii="Times New Roman" w:hAnsi="Times New Roman" w:eastAsia="宋体" w:cs="Times New Roman"/>
      <w:sz w:val="24"/>
      <w:szCs w:val="24"/>
    </w:rPr>
  </w:style>
  <w:style w:type="character" w:styleId="923" w:customStyle="1">
    <w:name w:val="纯文本 字符"/>
    <w:basedOn w:val="677"/>
    <w:link w:val="695"/>
    <w:uiPriority w:val="0"/>
    <w:qFormat/>
    <w:rPr>
      <w:rFonts w:ascii="宋体" w:hAnsi="Courier New" w:eastAsia="楷体_GB2312"/>
      <w:sz w:val="28"/>
    </w:rPr>
  </w:style>
  <w:style w:type="character" w:styleId="924" w:customStyle="1">
    <w:name w:val="日期 字符"/>
    <w:link w:val="698"/>
    <w:uiPriority w:val="0"/>
    <w:qFormat/>
    <w:rPr>
      <w:rFonts w:ascii="宋体" w:hAnsi="宋体" w:eastAsia="楷体_GB2312" w:cs="Times New Roman"/>
      <w:sz w:val="24"/>
      <w:szCs w:val="20"/>
    </w:rPr>
  </w:style>
  <w:style w:type="character" w:styleId="925" w:customStyle="1">
    <w:name w:val="正文文本缩进 2 字符"/>
    <w:link w:val="699"/>
    <w:uiPriority w:val="0"/>
    <w:qFormat/>
    <w:rPr>
      <w:rFonts w:ascii="Times New Roman" w:hAnsi="Times New Roman" w:eastAsia="宋体" w:cs="Times New Roman"/>
      <w:sz w:val="24"/>
      <w:szCs w:val="24"/>
    </w:rPr>
  </w:style>
  <w:style w:type="character" w:styleId="926" w:customStyle="1">
    <w:name w:val="批注框文本 字符"/>
    <w:link w:val="701"/>
    <w:uiPriority w:val="0"/>
    <w:qFormat/>
    <w:rPr>
      <w:rFonts w:ascii="Times New Roman" w:hAnsi="Times New Roman" w:eastAsia="宋体" w:cs="Times New Roman"/>
      <w:sz w:val="18"/>
      <w:szCs w:val="18"/>
    </w:rPr>
  </w:style>
  <w:style w:type="character" w:styleId="927" w:customStyle="1">
    <w:name w:val="页脚 字符"/>
    <w:link w:val="702"/>
    <w:uiPriority w:val="0"/>
    <w:qFormat/>
    <w:rPr>
      <w:sz w:val="18"/>
      <w:szCs w:val="18"/>
    </w:rPr>
  </w:style>
  <w:style w:type="character" w:styleId="928" w:customStyle="1">
    <w:name w:val="页眉 字符"/>
    <w:link w:val="704"/>
    <w:uiPriority w:val="0"/>
    <w:qFormat/>
    <w:rPr>
      <w:sz w:val="18"/>
      <w:szCs w:val="18"/>
    </w:rPr>
  </w:style>
  <w:style w:type="character" w:styleId="929" w:customStyle="1">
    <w:name w:val="脚注文本 字符"/>
    <w:basedOn w:val="677"/>
    <w:link w:val="710"/>
    <w:uiPriority w:val="0"/>
    <w:qFormat/>
    <w:rPr>
      <w:rFonts w:eastAsia="楷体_GB2312"/>
      <w:sz w:val="18"/>
    </w:rPr>
  </w:style>
  <w:style w:type="character" w:styleId="930" w:customStyle="1">
    <w:name w:val="正文文本缩进 3 字符"/>
    <w:link w:val="712"/>
    <w:uiPriority w:val="99"/>
    <w:qFormat/>
    <w:rPr>
      <w:rFonts w:ascii="Times New Roman" w:hAnsi="Times New Roman" w:eastAsia="宋体" w:cs="Times New Roman"/>
      <w:sz w:val="24"/>
      <w:szCs w:val="24"/>
    </w:rPr>
  </w:style>
  <w:style w:type="character" w:styleId="931" w:customStyle="1">
    <w:name w:val="正文文本 2 字符"/>
    <w:basedOn w:val="677"/>
    <w:link w:val="718"/>
    <w:uiPriority w:val="0"/>
    <w:qFormat/>
    <w:rPr>
      <w:rFonts w:eastAsia="楷体_GB2312"/>
      <w:sz w:val="28"/>
    </w:rPr>
  </w:style>
  <w:style w:type="character" w:styleId="932" w:customStyle="1">
    <w:name w:val="批注主题 字符"/>
    <w:link w:val="723"/>
    <w:uiPriority w:val="0"/>
    <w:qFormat/>
    <w:rPr>
      <w:rFonts w:ascii="Times New Roman" w:hAnsi="Times New Roman" w:eastAsia="宋体" w:cs="Times New Roman"/>
      <w:b/>
      <w:bCs/>
      <w:szCs w:val="24"/>
    </w:rPr>
  </w:style>
  <w:style w:type="character" w:styleId="933" w:customStyle="1">
    <w:name w:val="批注文字 字符"/>
    <w:uiPriority w:val="0"/>
    <w:qFormat/>
    <w:rPr>
      <w:sz w:val="21"/>
      <w:szCs w:val="24"/>
    </w:rPr>
  </w:style>
  <w:style w:type="character" w:styleId="934" w:customStyle="1">
    <w:name w:val="List Paragraph Char"/>
    <w:link w:val="935"/>
    <w:uiPriority w:val="34"/>
    <w:qFormat/>
    <w:rPr>
      <w:rFonts w:ascii="Calibri" w:hAnsi="Calibri" w:eastAsia="宋体" w:cs="宋体"/>
    </w:rPr>
  </w:style>
  <w:style w:type="paragraph" w:styleId="935" w:customStyle="1">
    <w:name w:val="列出段落1"/>
    <w:basedOn w:val="667"/>
    <w:link w:val="934"/>
    <w:uiPriority w:val="0"/>
    <w:qFormat/>
    <w:pPr>
      <w:ind w:firstLine="200"/>
    </w:pPr>
    <w:rPr>
      <w:rFonts w:ascii="Calibri" w:hAnsi="Calibri"/>
      <w:sz w:val="20"/>
      <w:szCs w:val="20"/>
    </w:rPr>
  </w:style>
  <w:style w:type="character" w:styleId="936" w:customStyle="1">
    <w:name w:val="正文文本缩进 3 Char1"/>
    <w:uiPriority w:val="0"/>
    <w:qFormat/>
    <w:rPr>
      <w:sz w:val="16"/>
      <w:szCs w:val="16"/>
    </w:rPr>
  </w:style>
  <w:style w:type="character" w:styleId="937" w:customStyle="1">
    <w:name w:val="日期 Char1"/>
    <w:uiPriority w:val="99"/>
    <w:qFormat/>
    <w:rPr>
      <w:sz w:val="21"/>
      <w:szCs w:val="22"/>
    </w:rPr>
  </w:style>
  <w:style w:type="character" w:styleId="938" w:customStyle="1">
    <w:name w:val="正文文本缩进 2 Char1"/>
    <w:uiPriority w:val="99"/>
    <w:qFormat/>
    <w:rPr>
      <w:sz w:val="21"/>
      <w:szCs w:val="22"/>
    </w:rPr>
  </w:style>
  <w:style w:type="character" w:styleId="939" w:customStyle="1">
    <w:name w:val="param-name"/>
    <w:basedOn w:val="677"/>
    <w:uiPriority w:val="0"/>
    <w:qFormat/>
  </w:style>
  <w:style w:type="character" w:styleId="940" w:customStyle="1">
    <w:name w:val="正文文本 Char1"/>
    <w:uiPriority w:val="99"/>
    <w:semiHidden/>
    <w:qFormat/>
    <w:rPr>
      <w:sz w:val="21"/>
      <w:szCs w:val="22"/>
    </w:rPr>
  </w:style>
  <w:style w:type="character" w:styleId="941" w:customStyle="1">
    <w:name w:val="页脚 Char1"/>
    <w:uiPriority w:val="99"/>
    <w:semiHidden/>
    <w:qFormat/>
    <w:rPr>
      <w:sz w:val="18"/>
      <w:szCs w:val="18"/>
    </w:rPr>
  </w:style>
  <w:style w:type="character" w:styleId="942" w:customStyle="1">
    <w:name w:val="方案 Char"/>
    <w:link w:val="943"/>
    <w:uiPriority w:val="0"/>
    <w:qFormat/>
    <w:rPr>
      <w:rFonts w:ascii="宋体" w:hAnsi="宋体" w:eastAsia="宋体"/>
      <w:sz w:val="24"/>
      <w:szCs w:val="24"/>
    </w:rPr>
  </w:style>
  <w:style w:type="paragraph" w:styleId="943" w:customStyle="1">
    <w:name w:val="方案"/>
    <w:basedOn w:val="667"/>
    <w:link w:val="942"/>
    <w:uiPriority w:val="0"/>
    <w:qFormat/>
    <w:pPr>
      <w:ind w:firstLine="200"/>
      <w:spacing w:line="360" w:lineRule="auto"/>
    </w:pPr>
    <w:rPr>
      <w:rFonts w:ascii="宋体" w:hAnsi="宋体"/>
      <w:sz w:val="24"/>
      <w:szCs w:val="24"/>
    </w:rPr>
  </w:style>
  <w:style w:type="character" w:styleId="944" w:customStyle="1">
    <w:name w:val="批注主题 Char1"/>
    <w:uiPriority w:val="99"/>
    <w:qFormat/>
    <w:rPr>
      <w:b/>
      <w:bCs/>
      <w:sz w:val="21"/>
      <w:szCs w:val="22"/>
    </w:rPr>
  </w:style>
  <w:style w:type="character" w:styleId="945" w:customStyle="1">
    <w:name w:val="Char Char2"/>
    <w:uiPriority w:val="0"/>
    <w:qFormat/>
    <w:rPr>
      <w:rFonts w:ascii="宋体" w:hAnsi="宋体" w:cs="宋体"/>
      <w:sz w:val="24"/>
      <w:szCs w:val="24"/>
    </w:rPr>
  </w:style>
  <w:style w:type="character" w:styleId="946" w:customStyle="1">
    <w:name w:val="方案正文 Char"/>
    <w:link w:val="947"/>
    <w:uiPriority w:val="0"/>
    <w:qFormat/>
    <w:rPr>
      <w:rFonts w:ascii="宋体" w:hAnsi="宋体" w:eastAsia="宋体" w:cs="Times New Roman"/>
      <w:spacing w:val="2"/>
      <w:szCs w:val="21"/>
    </w:rPr>
  </w:style>
  <w:style w:type="paragraph" w:styleId="947" w:customStyle="1">
    <w:name w:val="方案正文"/>
    <w:basedOn w:val="667"/>
    <w:link w:val="946"/>
    <w:uiPriority w:val="0"/>
    <w:qFormat/>
    <w:pPr>
      <w:ind w:firstLine="428"/>
      <w:spacing w:line="360" w:lineRule="auto"/>
      <w:tabs>
        <w:tab w:val="left" w:pos="540" w:leader="none"/>
      </w:tabs>
    </w:pPr>
    <w:rPr>
      <w:rFonts w:ascii="宋体" w:hAnsi="宋体"/>
      <w:spacing w:val="2"/>
      <w:sz w:val="20"/>
      <w:szCs w:val="21"/>
    </w:rPr>
  </w:style>
  <w:style w:type="character" w:styleId="948" w:customStyle="1">
    <w:name w:val="批注文字 Char1"/>
    <w:uiPriority w:val="99"/>
    <w:qFormat/>
    <w:rPr>
      <w:sz w:val="21"/>
      <w:szCs w:val="22"/>
    </w:rPr>
  </w:style>
  <w:style w:type="character" w:styleId="949" w:customStyle="1">
    <w:name w:val="批注框文本 Char1"/>
    <w:uiPriority w:val="99"/>
    <w:qFormat/>
    <w:rPr>
      <w:sz w:val="18"/>
      <w:szCs w:val="18"/>
    </w:rPr>
  </w:style>
  <w:style w:type="character" w:styleId="950" w:customStyle="1">
    <w:name w:val="Plain Text Char Char"/>
    <w:link w:val="951"/>
    <w:uiPriority w:val="0"/>
    <w:qFormat/>
    <w:rPr>
      <w:rFonts w:ascii="宋体" w:hAnsi="Courier New" w:eastAsia="楷体_GB2312" w:cs="Times New Roman"/>
      <w:sz w:val="28"/>
      <w:szCs w:val="20"/>
    </w:rPr>
  </w:style>
  <w:style w:type="paragraph" w:styleId="951" w:customStyle="1">
    <w:name w:val="纯文本1"/>
    <w:basedOn w:val="667"/>
    <w:next w:val="704"/>
    <w:link w:val="950"/>
    <w:uiPriority w:val="0"/>
    <w:qFormat/>
    <w:rPr>
      <w:rFonts w:ascii="宋体" w:hAnsi="Courier New" w:eastAsia="楷体_GB2312"/>
      <w:sz w:val="28"/>
      <w:szCs w:val="20"/>
    </w:rPr>
  </w:style>
  <w:style w:type="character" w:styleId="952" w:customStyle="1">
    <w:name w:val="No Spacing Char"/>
    <w:link w:val="953"/>
    <w:uiPriority w:val="0"/>
    <w:qFormat/>
    <w:rPr>
      <w:rFonts w:ascii="Cambria" w:hAnsi="Cambria"/>
    </w:rPr>
  </w:style>
  <w:style w:type="paragraph" w:styleId="953" w:customStyle="1">
    <w:name w:val="无间隔1"/>
    <w:basedOn w:val="667"/>
    <w:link w:val="952"/>
    <w:uiPriority w:val="0"/>
    <w:qFormat/>
    <w:pPr>
      <w:jc w:val="left"/>
      <w:widowControl/>
    </w:pPr>
    <w:rPr>
      <w:rFonts w:ascii="Cambria" w:hAnsi="Cambria"/>
      <w:sz w:val="20"/>
      <w:szCs w:val="20"/>
    </w:rPr>
  </w:style>
  <w:style w:type="character" w:styleId="954" w:customStyle="1">
    <w:name w:val="页眉 Char1"/>
    <w:uiPriority w:val="99"/>
    <w:semiHidden/>
    <w:qFormat/>
    <w:rPr>
      <w:sz w:val="18"/>
      <w:szCs w:val="18"/>
    </w:rPr>
  </w:style>
  <w:style w:type="character" w:styleId="955" w:customStyle="1">
    <w:name w:val="文档结构图 Char1"/>
    <w:uiPriority w:val="99"/>
    <w:qFormat/>
    <w:rPr>
      <w:rFonts w:ascii="宋体"/>
      <w:sz w:val="18"/>
      <w:szCs w:val="18"/>
    </w:rPr>
  </w:style>
  <w:style w:type="paragraph" w:styleId="956" w:customStyle="1">
    <w:name w:val="彩色底纹 - 强调文字颜色 11"/>
    <w:uiPriority w:val="71"/>
    <w:qFormat/>
    <w:rPr>
      <w:rFonts w:hint="default" w:ascii="Times New Roman" w:hAnsi="Times New Roman" w:eastAsia="宋体" w:cs="Times New Roman"/>
      <w:sz w:val="21"/>
      <w:szCs w:val="22"/>
      <w:lang w:val="en-US" w:eastAsia="zh-CN" w:bidi="ar-SA"/>
    </w:rPr>
  </w:style>
  <w:style w:type="paragraph" w:styleId="957" w:customStyle="1">
    <w:name w:val="xl104"/>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58" w:customStyle="1">
    <w:name w:val="xl84"/>
    <w:basedOn w:val="66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59" w:customStyle="1">
    <w:name w:val="xl65"/>
    <w:basedOn w:val="66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60" w:customStyle="1">
    <w:name w:val="xl74"/>
    <w:basedOn w:val="66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61" w:customStyle="1">
    <w:name w:val="xl112"/>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62" w:customStyle="1">
    <w:name w:val="font12"/>
    <w:basedOn w:val="667"/>
    <w:uiPriority w:val="0"/>
    <w:qFormat/>
    <w:pPr>
      <w:jc w:val="left"/>
      <w:spacing w:before="100" w:beforeAutospacing="1" w:after="100" w:afterAutospacing="1"/>
      <w:widowControl/>
    </w:pPr>
    <w:rPr>
      <w:rFonts w:ascii="宋体" w:hAnsi="宋体" w:cs="宋体"/>
      <w:sz w:val="24"/>
      <w:szCs w:val="24"/>
    </w:rPr>
  </w:style>
  <w:style w:type="paragraph" w:styleId="963" w:customStyle="1">
    <w:name w:val="xl106"/>
    <w:basedOn w:val="6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4" w:customStyle="1">
    <w:name w:val="font0"/>
    <w:basedOn w:val="667"/>
    <w:uiPriority w:val="0"/>
    <w:qFormat/>
    <w:pPr>
      <w:jc w:val="left"/>
      <w:spacing w:before="100" w:beforeAutospacing="1" w:after="100" w:afterAutospacing="1"/>
      <w:widowControl/>
    </w:pPr>
    <w:rPr>
      <w:rFonts w:ascii="宋体" w:hAnsi="宋体" w:cs="宋体"/>
      <w:sz w:val="24"/>
      <w:szCs w:val="24"/>
    </w:rPr>
  </w:style>
  <w:style w:type="paragraph" w:styleId="965" w:customStyle="1">
    <w:name w:val="font5"/>
    <w:basedOn w:val="667"/>
    <w:uiPriority w:val="0"/>
    <w:qFormat/>
    <w:pPr>
      <w:jc w:val="left"/>
      <w:spacing w:before="100" w:beforeAutospacing="1" w:after="100" w:afterAutospacing="1"/>
      <w:widowControl/>
    </w:pPr>
    <w:rPr>
      <w:rFonts w:ascii="宋体" w:hAnsi="宋体" w:cs="宋体"/>
      <w:color w:val="000000"/>
      <w:szCs w:val="21"/>
    </w:rPr>
  </w:style>
  <w:style w:type="paragraph" w:styleId="966" w:customStyle="1">
    <w:name w:val="xl118"/>
    <w:basedOn w:val="66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67" w:customStyle="1">
    <w:name w:val="纯文本11"/>
    <w:basedOn w:val="667"/>
    <w:link w:val="968"/>
    <w:uiPriority w:val="0"/>
    <w:qFormat/>
    <w:pPr>
      <w:jc w:val="left"/>
      <w:widowControl/>
    </w:pPr>
    <w:rPr>
      <w:rFonts w:ascii="宋体" w:hAnsi="Courier New" w:eastAsia="楷体_GB2312"/>
      <w:sz w:val="26"/>
      <w:szCs w:val="20"/>
    </w:rPr>
  </w:style>
  <w:style w:type="character" w:styleId="968" w:customStyle="1">
    <w:name w:val="纯文本 Char Char"/>
    <w:link w:val="967"/>
    <w:uiPriority w:val="0"/>
    <w:qFormat/>
    <w:rPr>
      <w:rFonts w:ascii="宋体" w:hAnsi="Courier New" w:eastAsia="楷体_GB2312"/>
      <w:sz w:val="26"/>
    </w:rPr>
  </w:style>
  <w:style w:type="paragraph" w:styleId="969" w:customStyle="1">
    <w:name w:val="xl96"/>
    <w:basedOn w:val="66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0" w:customStyle="1">
    <w:name w:val="xl121"/>
    <w:basedOn w:val="66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71" w:customStyle="1">
    <w:name w:val="xl89"/>
    <w:basedOn w:val="66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2" w:customStyle="1">
    <w:name w:val="xl92"/>
    <w:basedOn w:val="66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73" w:customStyle="1">
    <w:name w:val="_Style 125"/>
    <w:next w:val="667"/>
    <w:uiPriority w:val="99"/>
    <w:unhideWhenUsed/>
    <w:qFormat/>
    <w:pPr>
      <w:jc w:val="both"/>
      <w:widowControl w:val="off"/>
    </w:pPr>
    <w:rPr>
      <w:rFonts w:hint="default" w:ascii="Times New Roman" w:hAnsi="Times New Roman" w:eastAsia="宋体" w:cs="Times New Roman"/>
      <w:sz w:val="21"/>
      <w:szCs w:val="22"/>
      <w:lang w:val="en-US" w:eastAsia="zh-CN" w:bidi="ar-SA"/>
    </w:rPr>
  </w:style>
  <w:style w:type="paragraph" w:styleId="974" w:customStyle="1">
    <w:name w:val="xl81"/>
    <w:basedOn w:val="66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5" w:customStyle="1">
    <w:name w:val="xl76"/>
    <w:basedOn w:val="66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76" w:customStyle="1">
    <w:name w:val="xl109"/>
    <w:basedOn w:val="66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77" w:customStyle="1">
    <w:name w:val="xl80"/>
    <w:basedOn w:val="66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78" w:customStyle="1">
    <w:name w:val="xl100"/>
    <w:basedOn w:val="66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9" w:customStyle="1">
    <w:name w:val="纯文本3"/>
    <w:basedOn w:val="667"/>
    <w:uiPriority w:val="0"/>
    <w:qFormat/>
    <w:pPr>
      <w:jc w:val="left"/>
      <w:widowControl/>
    </w:pPr>
    <w:rPr>
      <w:rFonts w:ascii="宋体" w:hAnsi="Courier New" w:eastAsia="楷体_GB2312"/>
      <w:sz w:val="26"/>
      <w:szCs w:val="20"/>
    </w:rPr>
  </w:style>
  <w:style w:type="paragraph" w:styleId="980" w:customStyle="1">
    <w:name w:val="font7"/>
    <w:basedOn w:val="667"/>
    <w:uiPriority w:val="0"/>
    <w:qFormat/>
    <w:pPr>
      <w:jc w:val="left"/>
      <w:spacing w:before="100" w:beforeAutospacing="1" w:after="100" w:afterAutospacing="1"/>
      <w:widowControl/>
    </w:pPr>
    <w:rPr>
      <w:rFonts w:ascii="宋体" w:hAnsi="宋体" w:cs="宋体"/>
      <w:sz w:val="24"/>
      <w:szCs w:val="24"/>
    </w:rPr>
  </w:style>
  <w:style w:type="paragraph" w:styleId="981" w:customStyle="1">
    <w:name w:val="xl94"/>
    <w:basedOn w:val="66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82" w:customStyle="1">
    <w:name w:val="xl78"/>
    <w:basedOn w:val="66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83" w:customStyle="1">
    <w:name w:val="xl101"/>
    <w:basedOn w:val="66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xl124"/>
    <w:basedOn w:val="6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85" w:customStyle="1">
    <w:name w:val="font18"/>
    <w:basedOn w:val="667"/>
    <w:uiPriority w:val="0"/>
    <w:qFormat/>
    <w:pPr>
      <w:jc w:val="left"/>
      <w:spacing w:before="100" w:beforeAutospacing="1" w:after="100" w:afterAutospacing="1"/>
      <w:widowControl/>
    </w:pPr>
    <w:rPr>
      <w:rFonts w:ascii="宋体" w:hAnsi="宋体" w:cs="宋体"/>
      <w:color w:val="000000"/>
      <w:sz w:val="24"/>
      <w:szCs w:val="24"/>
    </w:rPr>
  </w:style>
  <w:style w:type="paragraph" w:styleId="986" w:customStyle="1">
    <w:name w:val="xl75"/>
    <w:basedOn w:val="66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7"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988" w:customStyle="1">
    <w:name w:val="财政-标题四"/>
    <w:basedOn w:val="989"/>
    <w:uiPriority w:val="0"/>
    <w:qFormat/>
    <w:pPr>
      <w:outlineLvl w:val="3"/>
    </w:pPr>
    <w:rPr>
      <w:sz w:val="30"/>
    </w:rPr>
  </w:style>
  <w:style w:type="paragraph" w:styleId="989" w:customStyle="1">
    <w:name w:val="财政-标题三"/>
    <w:basedOn w:val="990"/>
    <w:uiPriority w:val="0"/>
    <w:qFormat/>
    <w:pPr>
      <w:outlineLvl w:val="2"/>
    </w:pPr>
    <w:rPr>
      <w:sz w:val="32"/>
    </w:rPr>
  </w:style>
  <w:style w:type="paragraph" w:styleId="990" w:customStyle="1">
    <w:name w:val="财政-标题二"/>
    <w:basedOn w:val="991"/>
    <w:uiPriority w:val="0"/>
    <w:qFormat/>
    <w:pPr>
      <w:outlineLvl w:val="1"/>
    </w:pPr>
    <w:rPr>
      <w:sz w:val="36"/>
    </w:rPr>
  </w:style>
  <w:style w:type="paragraph" w:styleId="991" w:customStyle="1">
    <w:name w:val="财政-标题一"/>
    <w:basedOn w:val="667"/>
    <w:uiPriority w:val="0"/>
    <w:qFormat/>
    <w:pPr>
      <w:outlineLvl w:val="0"/>
    </w:pPr>
    <w:rPr>
      <w:rFonts w:ascii="Calibri" w:hAnsi="Calibri" w:eastAsia="华文中宋"/>
      <w:b/>
      <w:sz w:val="44"/>
      <w:szCs w:val="21"/>
    </w:rPr>
  </w:style>
  <w:style w:type="paragraph" w:styleId="992" w:customStyle="1">
    <w:name w:val="font23"/>
    <w:basedOn w:val="667"/>
    <w:uiPriority w:val="0"/>
    <w:qFormat/>
    <w:pPr>
      <w:jc w:val="left"/>
      <w:spacing w:before="100" w:beforeAutospacing="1" w:after="100" w:afterAutospacing="1"/>
      <w:widowControl/>
    </w:pPr>
    <w:rPr>
      <w:rFonts w:ascii="宋体" w:hAnsi="宋体" w:cs="宋体"/>
      <w:color w:val="ff0000"/>
      <w:sz w:val="20"/>
      <w:szCs w:val="20"/>
    </w:rPr>
  </w:style>
  <w:style w:type="paragraph" w:styleId="993" w:customStyle="1">
    <w:name w:val="font11"/>
    <w:basedOn w:val="667"/>
    <w:uiPriority w:val="0"/>
    <w:qFormat/>
    <w:pPr>
      <w:jc w:val="left"/>
      <w:spacing w:before="100" w:beforeAutospacing="1" w:after="100" w:afterAutospacing="1"/>
      <w:widowControl/>
    </w:pPr>
    <w:rPr>
      <w:rFonts w:ascii="宋体" w:hAnsi="宋体" w:cs="宋体"/>
      <w:sz w:val="24"/>
      <w:szCs w:val="24"/>
    </w:rPr>
  </w:style>
  <w:style w:type="paragraph" w:styleId="994" w:customStyle="1">
    <w:name w:val="font13"/>
    <w:basedOn w:val="667"/>
    <w:uiPriority w:val="0"/>
    <w:qFormat/>
    <w:pPr>
      <w:jc w:val="left"/>
      <w:spacing w:before="100" w:beforeAutospacing="1" w:after="100" w:afterAutospacing="1"/>
      <w:widowControl/>
    </w:pPr>
    <w:rPr>
      <w:rFonts w:ascii="宋体" w:hAnsi="宋体" w:cs="宋体"/>
      <w:color w:val="000000"/>
      <w:sz w:val="20"/>
      <w:szCs w:val="20"/>
    </w:rPr>
  </w:style>
  <w:style w:type="paragraph" w:styleId="995" w:customStyle="1">
    <w:name w:val="font6"/>
    <w:basedOn w:val="667"/>
    <w:uiPriority w:val="0"/>
    <w:qFormat/>
    <w:pPr>
      <w:jc w:val="left"/>
      <w:spacing w:before="100" w:beforeAutospacing="1" w:after="100" w:afterAutospacing="1"/>
      <w:widowControl/>
    </w:pPr>
    <w:rPr>
      <w:rFonts w:ascii="宋体" w:hAnsi="宋体" w:cs="宋体"/>
      <w:sz w:val="20"/>
      <w:szCs w:val="20"/>
    </w:rPr>
  </w:style>
  <w:style w:type="paragraph" w:styleId="996" w:customStyle="1">
    <w:name w:val="font9"/>
    <w:basedOn w:val="667"/>
    <w:uiPriority w:val="0"/>
    <w:qFormat/>
    <w:pPr>
      <w:jc w:val="left"/>
      <w:spacing w:before="100" w:beforeAutospacing="1" w:after="100" w:afterAutospacing="1"/>
      <w:widowControl/>
    </w:pPr>
    <w:rPr>
      <w:rFonts w:ascii="宋体" w:hAnsi="宋体" w:cs="宋体"/>
      <w:sz w:val="18"/>
      <w:szCs w:val="18"/>
    </w:rPr>
  </w:style>
  <w:style w:type="paragraph" w:styleId="997" w:customStyle="1">
    <w:name w:val="xl97"/>
    <w:basedOn w:val="667"/>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8" w:customStyle="1">
    <w:name w:val="p0"/>
    <w:basedOn w:val="667"/>
    <w:uiPriority w:val="0"/>
    <w:qFormat/>
    <w:pPr>
      <w:widowControl/>
    </w:pPr>
    <w:rPr>
      <w:szCs w:val="21"/>
    </w:rPr>
  </w:style>
  <w:style w:type="paragraph" w:styleId="999" w:customStyle="1">
    <w:name w:val="xl73"/>
    <w:basedOn w:val="66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00" w:customStyle="1">
    <w:name w:val="xl67"/>
    <w:basedOn w:val="66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01" w:customStyle="1">
    <w:name w:val="xl116"/>
    <w:basedOn w:val="6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02" w:customStyle="1">
    <w:name w:val="样式1"/>
    <w:basedOn w:val="670"/>
    <w:link w:val="1003"/>
    <w:uiPriority w:val="0"/>
    <w:qFormat/>
    <w:pPr>
      <w:ind w:left="709" w:hanging="709"/>
      <w:spacing w:line="240" w:lineRule="auto"/>
    </w:pPr>
    <w:rPr>
      <w:rFonts w:ascii="宋体" w:hAnsi="宋体" w:cs="宋体"/>
      <w:color w:val="000000"/>
      <w:sz w:val="21"/>
      <w:szCs w:val="21"/>
    </w:rPr>
  </w:style>
  <w:style w:type="character" w:styleId="1003" w:customStyle="1">
    <w:name w:val="样式1 Char"/>
    <w:link w:val="1002"/>
    <w:uiPriority w:val="0"/>
    <w:qFormat/>
    <w:rPr>
      <w:rFonts w:ascii="宋体" w:hAnsi="宋体" w:cs="宋体"/>
      <w:b/>
      <w:bCs/>
      <w:color w:val="000000"/>
      <w:sz w:val="21"/>
      <w:szCs w:val="21"/>
    </w:rPr>
  </w:style>
  <w:style w:type="paragraph" w:styleId="1004" w:customStyle="1">
    <w:name w:val="font19"/>
    <w:basedOn w:val="667"/>
    <w:uiPriority w:val="0"/>
    <w:qFormat/>
    <w:pPr>
      <w:jc w:val="left"/>
      <w:spacing w:before="100" w:beforeAutospacing="1" w:after="100" w:afterAutospacing="1"/>
      <w:widowControl/>
    </w:pPr>
    <w:rPr>
      <w:rFonts w:ascii="宋体" w:hAnsi="宋体" w:cs="宋体"/>
      <w:sz w:val="24"/>
      <w:szCs w:val="24"/>
    </w:rPr>
  </w:style>
  <w:style w:type="paragraph" w:styleId="1005" w:customStyle="1">
    <w:name w:val="font14"/>
    <w:basedOn w:val="667"/>
    <w:uiPriority w:val="0"/>
    <w:qFormat/>
    <w:pPr>
      <w:jc w:val="left"/>
      <w:spacing w:before="100" w:beforeAutospacing="1" w:after="100" w:afterAutospacing="1"/>
      <w:widowControl/>
    </w:pPr>
    <w:rPr>
      <w:rFonts w:ascii="宋体" w:hAnsi="宋体" w:cs="宋体"/>
      <w:sz w:val="24"/>
      <w:szCs w:val="24"/>
    </w:rPr>
  </w:style>
  <w:style w:type="paragraph" w:styleId="1006" w:customStyle="1">
    <w:name w:val="xl120"/>
    <w:basedOn w:val="66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7" w:customStyle="1">
    <w:name w:val="xl88"/>
    <w:basedOn w:val="66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8" w:customStyle="1">
    <w:name w:val="xl90"/>
    <w:basedOn w:val="66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09" w:customStyle="1">
    <w:name w:val="xl72"/>
    <w:basedOn w:val="66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10" w:customStyle="1">
    <w:name w:val="xl71"/>
    <w:basedOn w:val="667"/>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1" w:customStyle="1">
    <w:name w:val="xl119"/>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2" w:customStyle="1">
    <w:name w:val="TableNote"/>
    <w:uiPriority w:val="1"/>
    <w:qFormat/>
    <w:pPr>
      <w:ind w:left="1587" w:hanging="340"/>
      <w:spacing w:before="480" w:after="120"/>
    </w:pPr>
    <w:rPr>
      <w:rFonts w:hint="default" w:ascii="Arial" w:hAnsi="Arial" w:eastAsia="宋体" w:cs="Times New Roman"/>
      <w:sz w:val="18"/>
      <w:szCs w:val="44"/>
      <w:lang w:val="en-US" w:eastAsia="zh-CN" w:bidi="ar-SA"/>
    </w:rPr>
  </w:style>
  <w:style w:type="paragraph" w:styleId="1013" w:customStyle="1">
    <w:name w:val="font8"/>
    <w:basedOn w:val="667"/>
    <w:uiPriority w:val="0"/>
    <w:qFormat/>
    <w:pPr>
      <w:jc w:val="left"/>
      <w:spacing w:before="100" w:beforeAutospacing="1" w:after="100" w:afterAutospacing="1"/>
      <w:widowControl/>
    </w:pPr>
    <w:rPr>
      <w:rFonts w:ascii="宋体" w:hAnsi="宋体" w:cs="宋体"/>
      <w:color w:val="000000"/>
      <w:sz w:val="20"/>
      <w:szCs w:val="20"/>
    </w:rPr>
  </w:style>
  <w:style w:type="paragraph" w:styleId="1014" w:customStyle="1">
    <w:name w:val="font20"/>
    <w:basedOn w:val="667"/>
    <w:uiPriority w:val="0"/>
    <w:qFormat/>
    <w:pPr>
      <w:jc w:val="left"/>
      <w:spacing w:before="100" w:beforeAutospacing="1" w:after="100" w:afterAutospacing="1"/>
      <w:widowControl/>
    </w:pPr>
    <w:rPr>
      <w:rFonts w:ascii="宋体" w:hAnsi="宋体" w:cs="宋体"/>
      <w:color w:val="000000"/>
      <w:sz w:val="20"/>
      <w:szCs w:val="20"/>
    </w:rPr>
  </w:style>
  <w:style w:type="paragraph" w:styleId="1015" w:customStyle="1">
    <w:name w:val="font25"/>
    <w:basedOn w:val="667"/>
    <w:uiPriority w:val="0"/>
    <w:qFormat/>
    <w:pPr>
      <w:jc w:val="left"/>
      <w:spacing w:before="100" w:beforeAutospacing="1" w:after="100" w:afterAutospacing="1"/>
      <w:widowControl/>
    </w:pPr>
    <w:rPr>
      <w:rFonts w:ascii="宋体" w:hAnsi="宋体" w:cs="宋体"/>
      <w:sz w:val="20"/>
      <w:szCs w:val="20"/>
    </w:rPr>
  </w:style>
  <w:style w:type="paragraph" w:styleId="1016" w:customStyle="1">
    <w:name w:val="xl107"/>
    <w:basedOn w:val="6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17" w:customStyle="1">
    <w:name w:val="正文1"/>
    <w:basedOn w:val="667"/>
    <w:next w:val="667"/>
    <w:uiPriority w:val="0"/>
    <w:qFormat/>
    <w:pPr>
      <w:ind w:left="420" w:firstLine="527"/>
      <w:spacing w:before="120" w:line="360" w:lineRule="auto"/>
    </w:pPr>
    <w:rPr>
      <w:rFonts w:ascii="宋体" w:hAnsi="宋体"/>
      <w:sz w:val="24"/>
      <w:szCs w:val="24"/>
    </w:rPr>
  </w:style>
  <w:style w:type="paragraph" w:styleId="1018" w:customStyle="1">
    <w:name w:val="xl66"/>
    <w:basedOn w:val="66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9" w:customStyle="1">
    <w:name w:val="font24"/>
    <w:basedOn w:val="667"/>
    <w:uiPriority w:val="0"/>
    <w:qFormat/>
    <w:pPr>
      <w:jc w:val="left"/>
      <w:spacing w:before="100" w:beforeAutospacing="1" w:after="100" w:afterAutospacing="1"/>
      <w:widowControl/>
    </w:pPr>
    <w:rPr>
      <w:rFonts w:ascii="宋体" w:hAnsi="宋体" w:cs="宋体"/>
      <w:sz w:val="24"/>
      <w:szCs w:val="24"/>
    </w:rPr>
  </w:style>
  <w:style w:type="paragraph" w:styleId="1020" w:customStyle="1">
    <w:name w:val="xl86"/>
    <w:basedOn w:val="66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1" w:customStyle="1">
    <w:name w:val="xl103"/>
    <w:basedOn w:val="6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2" w:customStyle="1">
    <w:name w:val="font26"/>
    <w:basedOn w:val="667"/>
    <w:uiPriority w:val="0"/>
    <w:qFormat/>
    <w:pPr>
      <w:jc w:val="left"/>
      <w:spacing w:before="100" w:beforeAutospacing="1" w:after="100" w:afterAutospacing="1"/>
      <w:widowControl/>
    </w:pPr>
    <w:rPr>
      <w:rFonts w:ascii="宋体" w:hAnsi="宋体" w:cs="宋体"/>
      <w:sz w:val="18"/>
      <w:szCs w:val="18"/>
    </w:rPr>
  </w:style>
  <w:style w:type="paragraph" w:styleId="1023" w:customStyle="1">
    <w:name w:val="xl87"/>
    <w:basedOn w:val="66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4" w:customStyle="1">
    <w:name w:val="xl93"/>
    <w:basedOn w:val="66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5" w:customStyle="1">
    <w:name w:val="xl115"/>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26" w:customStyle="1">
    <w:name w:val="xl98"/>
    <w:basedOn w:val="66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font10"/>
    <w:basedOn w:val="667"/>
    <w:uiPriority w:val="0"/>
    <w:qFormat/>
    <w:pPr>
      <w:jc w:val="left"/>
      <w:spacing w:before="100" w:beforeAutospacing="1" w:after="100" w:afterAutospacing="1"/>
      <w:widowControl/>
    </w:pPr>
    <w:rPr>
      <w:rFonts w:ascii="宋体" w:hAnsi="宋体" w:cs="宋体"/>
      <w:color w:val="000000"/>
      <w:sz w:val="24"/>
      <w:szCs w:val="24"/>
    </w:rPr>
  </w:style>
  <w:style w:type="paragraph" w:styleId="1028" w:customStyle="1">
    <w:name w:val="xl79"/>
    <w:basedOn w:val="66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29" w:customStyle="1">
    <w:name w:val="xl123"/>
    <w:basedOn w:val="6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30" w:customStyle="1">
    <w:name w:val="xl64"/>
    <w:basedOn w:val="667"/>
    <w:uiPriority w:val="0"/>
    <w:qFormat/>
    <w:pPr>
      <w:jc w:val="center"/>
      <w:spacing w:before="100" w:beforeAutospacing="1" w:after="100" w:afterAutospacing="1"/>
      <w:widowControl/>
    </w:pPr>
    <w:rPr>
      <w:rFonts w:ascii="宋体" w:hAnsi="宋体" w:cs="宋体"/>
      <w:sz w:val="24"/>
      <w:szCs w:val="24"/>
    </w:rPr>
  </w:style>
  <w:style w:type="paragraph" w:styleId="1031" w:customStyle="1">
    <w:name w:val="纯文本2"/>
    <w:basedOn w:val="667"/>
    <w:uiPriority w:val="0"/>
    <w:qFormat/>
    <w:pPr>
      <w:jc w:val="left"/>
      <w:widowControl/>
    </w:pPr>
    <w:rPr>
      <w:rFonts w:ascii="宋体" w:hAnsi="Courier New" w:eastAsia="楷体_GB2312"/>
      <w:sz w:val="26"/>
      <w:szCs w:val="20"/>
    </w:rPr>
  </w:style>
  <w:style w:type="paragraph" w:styleId="1032" w:customStyle="1">
    <w:name w:val="xl95"/>
    <w:basedOn w:val="66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33" w:customStyle="1">
    <w:name w:val="font17"/>
    <w:basedOn w:val="667"/>
    <w:uiPriority w:val="0"/>
    <w:qFormat/>
    <w:pPr>
      <w:jc w:val="left"/>
      <w:spacing w:before="100" w:beforeAutospacing="1" w:after="100" w:afterAutospacing="1"/>
      <w:widowControl/>
    </w:pPr>
    <w:rPr>
      <w:rFonts w:ascii="宋体" w:hAnsi="宋体" w:cs="宋体"/>
      <w:sz w:val="18"/>
      <w:szCs w:val="18"/>
    </w:rPr>
  </w:style>
  <w:style w:type="paragraph" w:styleId="1034" w:customStyle="1">
    <w:name w:val="xl85"/>
    <w:basedOn w:val="66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5">
    <w:name w:val="List Paragraph"/>
    <w:basedOn w:val="667"/>
    <w:link w:val="1036"/>
    <w:uiPriority w:val="34"/>
    <w:qFormat/>
    <w:pPr>
      <w:ind w:firstLine="420"/>
    </w:pPr>
    <w:rPr>
      <w:rFonts w:ascii="宋体" w:hAnsi="宋体"/>
      <w:sz w:val="24"/>
      <w:szCs w:val="24"/>
    </w:rPr>
  </w:style>
  <w:style w:type="character" w:styleId="1036" w:customStyle="1">
    <w:name w:val="列表段落 字符"/>
    <w:link w:val="1035"/>
    <w:uiPriority w:val="34"/>
    <w:qFormat/>
    <w:rPr>
      <w:rFonts w:ascii="宋体" w:hAnsi="宋体"/>
      <w:sz w:val="24"/>
      <w:szCs w:val="24"/>
    </w:rPr>
  </w:style>
  <w:style w:type="paragraph" w:styleId="1037" w:customStyle="1">
    <w:name w:val="xl111"/>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38" w:customStyle="1">
    <w:name w:val="xl127"/>
    <w:basedOn w:val="66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77"/>
    <w:basedOn w:val="66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40" w:customStyle="1">
    <w:name w:val="xl99"/>
    <w:basedOn w:val="66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1" w:customStyle="1">
    <w:name w:val="font22"/>
    <w:basedOn w:val="667"/>
    <w:uiPriority w:val="0"/>
    <w:qFormat/>
    <w:pPr>
      <w:jc w:val="left"/>
      <w:spacing w:before="100" w:beforeAutospacing="1" w:after="100" w:afterAutospacing="1"/>
      <w:widowControl/>
    </w:pPr>
    <w:rPr>
      <w:rFonts w:ascii="宋体" w:hAnsi="宋体" w:cs="宋体"/>
      <w:color w:val="ff0000"/>
      <w:sz w:val="20"/>
      <w:szCs w:val="20"/>
    </w:rPr>
  </w:style>
  <w:style w:type="paragraph" w:styleId="1042" w:customStyle="1">
    <w:name w:val="xl117"/>
    <w:basedOn w:val="66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43" w:customStyle="1">
    <w:name w:val="font15"/>
    <w:basedOn w:val="667"/>
    <w:uiPriority w:val="0"/>
    <w:qFormat/>
    <w:pPr>
      <w:jc w:val="left"/>
      <w:spacing w:before="100" w:beforeAutospacing="1" w:after="100" w:afterAutospacing="1"/>
      <w:widowControl/>
    </w:pPr>
    <w:rPr>
      <w:rFonts w:ascii="宋体" w:hAnsi="宋体" w:cs="宋体"/>
      <w:sz w:val="24"/>
      <w:szCs w:val="24"/>
    </w:rPr>
  </w:style>
  <w:style w:type="paragraph" w:styleId="1044" w:customStyle="1">
    <w:name w:val="xl113"/>
    <w:basedOn w:val="667"/>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5" w:customStyle="1">
    <w:name w:val="xl83"/>
    <w:basedOn w:val="66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6" w:customStyle="1">
    <w:name w:val="xl110"/>
    <w:basedOn w:val="6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7" w:customStyle="1">
    <w:name w:val="彩色列表 - 强调文字颜色 11"/>
    <w:basedOn w:val="667"/>
    <w:uiPriority w:val="0"/>
    <w:qFormat/>
    <w:pPr>
      <w:ind w:firstLine="420"/>
    </w:pPr>
    <w:rPr>
      <w:rFonts w:ascii="宋体" w:hAnsi="宋体"/>
      <w:sz w:val="24"/>
      <w:szCs w:val="24"/>
    </w:rPr>
  </w:style>
  <w:style w:type="paragraph" w:styleId="1048" w:customStyle="1">
    <w:name w:val="xl102"/>
    <w:basedOn w:val="667"/>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9" w:customStyle="1">
    <w:name w:val="xl125"/>
    <w:basedOn w:val="66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0" w:customStyle="1">
    <w:name w:val="xl91"/>
    <w:basedOn w:val="66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1" w:customStyle="1">
    <w:name w:val="xl68"/>
    <w:basedOn w:val="66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2" w:customStyle="1">
    <w:name w:val="xl122"/>
    <w:basedOn w:val="6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53" w:customStyle="1">
    <w:name w:val="xl108"/>
    <w:basedOn w:val="667"/>
    <w:uiPriority w:val="0"/>
    <w:qFormat/>
    <w:pPr>
      <w:jc w:val="center"/>
      <w:spacing w:before="100" w:beforeAutospacing="1" w:after="100" w:afterAutospacing="1"/>
      <w:widowControl/>
    </w:pPr>
    <w:rPr>
      <w:rFonts w:ascii="宋体" w:hAnsi="宋体" w:cs="宋体"/>
      <w:color w:val="ff0000"/>
      <w:sz w:val="24"/>
      <w:szCs w:val="24"/>
    </w:rPr>
  </w:style>
  <w:style w:type="paragraph" w:styleId="1054" w:customStyle="1">
    <w:name w:val="font21"/>
    <w:basedOn w:val="667"/>
    <w:uiPriority w:val="0"/>
    <w:qFormat/>
    <w:pPr>
      <w:jc w:val="left"/>
      <w:spacing w:before="100" w:beforeAutospacing="1" w:after="100" w:afterAutospacing="1"/>
      <w:widowControl/>
    </w:pPr>
    <w:rPr>
      <w:rFonts w:ascii="宋体" w:hAnsi="宋体" w:cs="宋体"/>
      <w:color w:val="000000"/>
      <w:sz w:val="24"/>
      <w:szCs w:val="24"/>
    </w:rPr>
  </w:style>
  <w:style w:type="paragraph" w:styleId="1055" w:customStyle="1">
    <w:name w:val="xl69"/>
    <w:basedOn w:val="667"/>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56" w:customStyle="1">
    <w:name w:val="xl126"/>
    <w:basedOn w:val="66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xl82"/>
    <w:basedOn w:val="66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8" w:customStyle="1">
    <w:name w:val="xl70"/>
    <w:basedOn w:val="667"/>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59" w:customStyle="1">
    <w:name w:val="xl114"/>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0" w:customStyle="1">
    <w:name w:val="font16"/>
    <w:basedOn w:val="667"/>
    <w:uiPriority w:val="0"/>
    <w:qFormat/>
    <w:pPr>
      <w:jc w:val="left"/>
      <w:spacing w:before="100" w:beforeAutospacing="1" w:after="100" w:afterAutospacing="1"/>
      <w:widowControl/>
    </w:pPr>
    <w:rPr>
      <w:rFonts w:ascii="宋体" w:hAnsi="宋体" w:cs="宋体"/>
      <w:color w:val="000000"/>
      <w:sz w:val="20"/>
      <w:szCs w:val="20"/>
    </w:rPr>
  </w:style>
  <w:style w:type="paragraph" w:styleId="1061" w:customStyle="1">
    <w:name w:val="xl105"/>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62" w:customStyle="1">
    <w:name w:val="网格型1"/>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3" w:customStyle="1">
    <w:name w:val="纯文本4"/>
    <w:basedOn w:val="667"/>
    <w:uiPriority w:val="0"/>
    <w:qFormat/>
    <w:rPr>
      <w:rFonts w:ascii="宋体" w:hAnsi="Courier New" w:eastAsia="楷体_GB2312"/>
      <w:sz w:val="26"/>
      <w:szCs w:val="20"/>
    </w:rPr>
  </w:style>
  <w:style w:type="character" w:styleId="1064" w:customStyle="1">
    <w:name w:val="Body text|1_"/>
    <w:basedOn w:val="677"/>
    <w:link w:val="1065"/>
    <w:uiPriority w:val="0"/>
    <w:qFormat/>
    <w:rPr>
      <w:rFonts w:ascii="宋体" w:hAnsi="宋体" w:cs="宋体"/>
      <w:sz w:val="22"/>
      <w:szCs w:val="22"/>
      <w:lang w:val="zh-TW" w:eastAsia="zh-TW" w:bidi="zh-TW"/>
    </w:rPr>
  </w:style>
  <w:style w:type="paragraph" w:styleId="1065" w:customStyle="1">
    <w:name w:val="Body text|1"/>
    <w:basedOn w:val="667"/>
    <w:link w:val="1064"/>
    <w:uiPriority w:val="0"/>
    <w:qFormat/>
    <w:pPr>
      <w:ind w:firstLine="380"/>
      <w:jc w:val="left"/>
      <w:spacing w:line="406" w:lineRule="auto"/>
    </w:pPr>
    <w:rPr>
      <w:rFonts w:ascii="宋体" w:hAnsi="宋体" w:cs="宋体"/>
      <w:sz w:val="22"/>
      <w:lang w:val="zh-TW" w:eastAsia="zh-TW" w:bidi="zh-TW"/>
    </w:rPr>
  </w:style>
  <w:style w:type="paragraph" w:styleId="1066" w:customStyle="1">
    <w:name w:val="修订2"/>
    <w:hidden/>
    <w:uiPriority w:val="99"/>
    <w:unhideWhenUsed/>
    <w:qFormat/>
    <w:rPr>
      <w:rFonts w:hint="default" w:ascii="Times New Roman" w:hAnsi="Times New Roman" w:eastAsia="宋体" w:cs="Times New Roman"/>
      <w:sz w:val="21"/>
      <w:szCs w:val="22"/>
      <w:lang w:val="en-US" w:eastAsia="zh-CN" w:bidi="ar-SA"/>
    </w:rPr>
  </w:style>
  <w:style w:type="character" w:styleId="1067" w:customStyle="1">
    <w:name w:val="mini-outputtext1"/>
    <w:basedOn w:val="677"/>
    <w:uiPriority w:val="0"/>
    <w:qFormat/>
  </w:style>
  <w:style w:type="character" w:styleId="1068" w:customStyle="1">
    <w:name w:val="样式2 Char"/>
    <w:link w:val="1069"/>
    <w:uiPriority w:val="0"/>
    <w:qFormat/>
    <w:rPr>
      <w:szCs w:val="21"/>
    </w:rPr>
  </w:style>
  <w:style w:type="paragraph" w:styleId="1069" w:customStyle="1">
    <w:name w:val="样式2"/>
    <w:basedOn w:val="1002"/>
    <w:link w:val="1068"/>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70" w:customStyle="1">
    <w:name w:val="2级标题 Char"/>
    <w:link w:val="1071"/>
    <w:uiPriority w:val="0"/>
    <w:qFormat/>
    <w:rPr>
      <w:rFonts w:eastAsia="华文中宋"/>
      <w:b/>
      <w:bCs/>
      <w:sz w:val="28"/>
      <w:szCs w:val="32"/>
    </w:rPr>
  </w:style>
  <w:style w:type="paragraph" w:styleId="1071" w:customStyle="1">
    <w:name w:val="2级标题"/>
    <w:basedOn w:val="669"/>
    <w:link w:val="1070"/>
    <w:uiPriority w:val="0"/>
    <w:qFormat/>
    <w:pPr>
      <w:spacing w:line="360" w:lineRule="auto"/>
      <w:tabs>
        <w:tab w:val="left" w:pos="851" w:leader="none"/>
      </w:tabs>
    </w:pPr>
    <w:rPr>
      <w:rFonts w:ascii="Times New Roman" w:hAnsi="Times New Roman" w:eastAsia="华文中宋"/>
      <w:sz w:val="28"/>
    </w:rPr>
  </w:style>
  <w:style w:type="character" w:styleId="1072" w:customStyle="1">
    <w:name w:val="样式4 Char"/>
    <w:link w:val="1073"/>
    <w:uiPriority w:val="0"/>
    <w:qFormat/>
    <w:rPr>
      <w:sz w:val="18"/>
      <w:szCs w:val="18"/>
    </w:rPr>
  </w:style>
  <w:style w:type="paragraph" w:styleId="1073" w:customStyle="1">
    <w:name w:val="样式4"/>
    <w:basedOn w:val="704"/>
    <w:link w:val="1072"/>
    <w:uiPriority w:val="0"/>
    <w:qFormat/>
    <w:pPr>
      <w:ind w:firstLine="425"/>
      <w:pBdr>
        <w:bottom w:val="none" w:color="auto" w:sz="0" w:space="0"/>
      </w:pBdr>
    </w:pPr>
  </w:style>
  <w:style w:type="character" w:styleId="1074" w:customStyle="1">
    <w:name w:val="HTML 打字机1"/>
    <w:uiPriority w:val="0"/>
    <w:qFormat/>
    <w:rPr>
      <w:rFonts w:hint="eastAsia" w:ascii="黑体" w:hAnsi="Courier New" w:eastAsia="黑体"/>
      <w:sz w:val="14"/>
    </w:rPr>
  </w:style>
  <w:style w:type="character" w:styleId="1075" w:customStyle="1">
    <w:name w:val="无间隔 字符"/>
    <w:link w:val="1076"/>
    <w:uiPriority w:val="0"/>
    <w:qFormat/>
    <w:rPr>
      <w:rFonts w:ascii="Calibri" w:hAnsi="Calibri"/>
    </w:rPr>
  </w:style>
  <w:style w:type="paragraph" w:styleId="1076">
    <w:name w:val="No Spacing"/>
    <w:link w:val="1075"/>
    <w:uiPriority w:val="0"/>
    <w:qFormat/>
    <w:pPr>
      <w:jc w:val="both"/>
      <w:widowControl w:val="off"/>
    </w:pPr>
    <w:rPr>
      <w:rFonts w:hint="default" w:ascii="Calibri" w:hAnsi="Calibri" w:eastAsia="宋体" w:cs="Times New Roman"/>
      <w:lang w:val="en-US" w:eastAsia="zh-CN" w:bidi="ar-SA"/>
    </w:rPr>
  </w:style>
  <w:style w:type="character" w:styleId="1077" w:customStyle="1">
    <w:name w:val="样式6 Char"/>
    <w:link w:val="1078"/>
    <w:uiPriority w:val="0"/>
    <w:qFormat/>
    <w:rPr>
      <w:sz w:val="18"/>
      <w:szCs w:val="18"/>
    </w:rPr>
  </w:style>
  <w:style w:type="paragraph" w:styleId="1078" w:customStyle="1">
    <w:name w:val="样式6"/>
    <w:basedOn w:val="704"/>
    <w:link w:val="1077"/>
    <w:uiPriority w:val="0"/>
    <w:qFormat/>
    <w:pPr>
      <w:ind w:firstLine="425"/>
      <w:pBdr>
        <w:bottom w:val="none" w:color="auto" w:sz="0" w:space="0"/>
      </w:pBdr>
    </w:pPr>
  </w:style>
  <w:style w:type="character" w:styleId="1079" w:customStyle="1">
    <w:name w:val="纯文本 Char"/>
    <w:link w:val="1080"/>
    <w:uiPriority w:val="0"/>
    <w:qFormat/>
    <w:rPr>
      <w:rFonts w:ascii="宋体" w:hAnsi="Courier New" w:eastAsia="楷体_GB2312"/>
      <w:sz w:val="28"/>
    </w:rPr>
  </w:style>
  <w:style w:type="paragraph" w:styleId="1080" w:customStyle="1">
    <w:name w:val="纯文本111"/>
    <w:basedOn w:val="667"/>
    <w:link w:val="1079"/>
    <w:uiPriority w:val="0"/>
    <w:qFormat/>
    <w:rPr>
      <w:rFonts w:ascii="宋体" w:hAnsi="Courier New" w:eastAsia="楷体_GB2312"/>
      <w:sz w:val="28"/>
      <w:szCs w:val="20"/>
    </w:rPr>
  </w:style>
  <w:style w:type="character" w:styleId="1081" w:customStyle="1">
    <w:name w:val="样式3 Char"/>
    <w:link w:val="1082"/>
    <w:uiPriority w:val="0"/>
    <w:qFormat/>
    <w:rPr>
      <w:sz w:val="18"/>
      <w:szCs w:val="18"/>
    </w:rPr>
  </w:style>
  <w:style w:type="paragraph" w:styleId="1082" w:customStyle="1">
    <w:name w:val="样式3"/>
    <w:basedOn w:val="704"/>
    <w:link w:val="1081"/>
    <w:uiPriority w:val="0"/>
    <w:qFormat/>
    <w:pPr>
      <w:jc w:val="both"/>
      <w:pBdr>
        <w:bottom w:val="none" w:color="auto" w:sz="0" w:space="0"/>
      </w:pBdr>
    </w:pPr>
  </w:style>
  <w:style w:type="character" w:styleId="1083" w:customStyle="1">
    <w:name w:val="3级标题 Char"/>
    <w:link w:val="1084"/>
    <w:uiPriority w:val="0"/>
    <w:qFormat/>
    <w:rPr>
      <w:rFonts w:eastAsia="华文中宋"/>
      <w:b/>
      <w:bCs/>
      <w:sz w:val="28"/>
      <w:szCs w:val="32"/>
    </w:rPr>
  </w:style>
  <w:style w:type="paragraph" w:styleId="1084" w:customStyle="1">
    <w:name w:val="3级标题"/>
    <w:basedOn w:val="669"/>
    <w:link w:val="1083"/>
    <w:uiPriority w:val="0"/>
    <w:qFormat/>
    <w:pPr>
      <w:spacing w:line="360" w:lineRule="auto"/>
      <w:tabs>
        <w:tab w:val="left" w:pos="1080" w:leader="none"/>
      </w:tabs>
    </w:pPr>
    <w:rPr>
      <w:rFonts w:ascii="Times New Roman" w:hAnsi="Times New Roman" w:eastAsia="华文中宋"/>
      <w:sz w:val="28"/>
    </w:rPr>
  </w:style>
  <w:style w:type="character" w:styleId="1085" w:customStyle="1">
    <w:name w:val="5级 Char"/>
    <w:link w:val="1086"/>
    <w:uiPriority w:val="0"/>
    <w:qFormat/>
    <w:rPr>
      <w:rFonts w:eastAsia="华文中宋"/>
      <w:b/>
      <w:sz w:val="24"/>
      <w:szCs w:val="28"/>
    </w:rPr>
  </w:style>
  <w:style w:type="paragraph" w:styleId="1086" w:customStyle="1">
    <w:name w:val="5级"/>
    <w:basedOn w:val="671"/>
    <w:link w:val="1085"/>
    <w:uiPriority w:val="0"/>
    <w:qFormat/>
    <w:pPr>
      <w:jc w:val="left"/>
      <w:spacing w:line="360" w:lineRule="auto"/>
      <w:tabs>
        <w:tab w:val="left" w:pos="1276" w:leader="none"/>
      </w:tabs>
    </w:pPr>
    <w:rPr>
      <w:rFonts w:ascii="Times New Roman" w:hAnsi="Times New Roman" w:eastAsia="华文中宋"/>
      <w:bCs w:val="0"/>
      <w:sz w:val="24"/>
    </w:rPr>
  </w:style>
  <w:style w:type="character" w:styleId="1087" w:customStyle="1">
    <w:name w:val="样式5 Char"/>
    <w:link w:val="1088"/>
    <w:uiPriority w:val="0"/>
    <w:qFormat/>
    <w:rPr>
      <w:sz w:val="24"/>
    </w:rPr>
  </w:style>
  <w:style w:type="paragraph" w:styleId="1088" w:customStyle="1">
    <w:name w:val="样式5"/>
    <w:basedOn w:val="667"/>
    <w:link w:val="1087"/>
    <w:uiPriority w:val="0"/>
    <w:qFormat/>
    <w:pPr>
      <w:jc w:val="left"/>
      <w:pBdr>
        <w:bottom w:val="single" w:color="C0504D" w:sz="6" w:space="1"/>
      </w:pBdr>
    </w:pPr>
    <w:rPr>
      <w:sz w:val="24"/>
      <w:szCs w:val="20"/>
    </w:rPr>
  </w:style>
  <w:style w:type="character" w:styleId="1089" w:customStyle="1">
    <w:name w:val="正文缩进1 Char1"/>
    <w:uiPriority w:val="0"/>
    <w:qFormat/>
    <w:rPr>
      <w:rFonts w:eastAsia="Wingdings"/>
      <w:sz w:val="24"/>
      <w:lang w:val="en-US" w:eastAsia="zh-CN" w:bidi="ar-SA"/>
    </w:rPr>
  </w:style>
  <w:style w:type="character" w:styleId="1090" w:customStyle="1">
    <w:name w:val="*正文 Char"/>
    <w:link w:val="1091"/>
    <w:uiPriority w:val="0"/>
    <w:qFormat/>
    <w:rPr>
      <w:rFonts w:ascii="宋体" w:hAnsi="宋体"/>
      <w:sz w:val="24"/>
    </w:rPr>
  </w:style>
  <w:style w:type="paragraph" w:styleId="1091" w:customStyle="1">
    <w:name w:val="*正文"/>
    <w:basedOn w:val="667"/>
    <w:link w:val="1090"/>
    <w:uiPriority w:val="0"/>
    <w:qFormat/>
    <w:pPr>
      <w:ind w:firstLine="482"/>
      <w:spacing w:line="360" w:lineRule="auto"/>
    </w:pPr>
    <w:rPr>
      <w:rFonts w:ascii="宋体" w:hAnsi="宋体"/>
      <w:sz w:val="24"/>
      <w:szCs w:val="20"/>
    </w:rPr>
  </w:style>
  <w:style w:type="paragraph" w:styleId="1092" w:customStyle="1">
    <w:name w:val="Blockquote"/>
    <w:basedOn w:val="667"/>
    <w:uiPriority w:val="0"/>
    <w:qFormat/>
    <w:pPr>
      <w:ind w:left="360" w:right="360"/>
      <w:jc w:val="left"/>
      <w:spacing w:before="100" w:after="100"/>
    </w:pPr>
    <w:rPr>
      <w:sz w:val="24"/>
      <w:szCs w:val="20"/>
    </w:rPr>
  </w:style>
  <w:style w:type="paragraph" w:styleId="1093" w:customStyle="1">
    <w:name w:val="reader-word-layer reader-word-s7-11"/>
    <w:basedOn w:val="667"/>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094" w:customStyle="1">
    <w:name w:val="题注1"/>
    <w:basedOn w:val="667"/>
    <w:next w:val="667"/>
    <w:uiPriority w:val="0"/>
    <w:qFormat/>
    <w:pPr>
      <w:ind w:firstLine="425"/>
      <w:jc w:val="center"/>
      <w:spacing w:line="360" w:lineRule="auto"/>
    </w:pPr>
    <w:rPr>
      <w:rFonts w:ascii="Calibri" w:hAnsi="Calibri"/>
    </w:rPr>
  </w:style>
  <w:style w:type="character" w:styleId="1095" w:customStyle="1">
    <w:name w:val="正文文本缩进 3 Char2"/>
    <w:basedOn w:val="677"/>
    <w:uiPriority w:val="99"/>
    <w:semiHidden/>
    <w:qFormat/>
    <w:rPr>
      <w:rFonts w:ascii="Times New Roman" w:hAnsi="Times New Roman" w:eastAsia="楷体_GB2312" w:cs="Times New Roman"/>
      <w:sz w:val="16"/>
      <w:szCs w:val="16"/>
    </w:rPr>
  </w:style>
  <w:style w:type="paragraph" w:styleId="1096" w:customStyle="1">
    <w:name w:val="xl26"/>
    <w:basedOn w:val="667"/>
    <w:uiPriority w:val="0"/>
    <w:qFormat/>
    <w:pPr>
      <w:jc w:val="center"/>
      <w:spacing w:before="100" w:beforeAutospacing="1" w:after="100" w:afterAutospacing="1"/>
      <w:widowControl/>
    </w:pPr>
    <w:rPr>
      <w:rFonts w:ascii="宋体" w:hAnsi="宋体"/>
      <w:sz w:val="24"/>
      <w:szCs w:val="24"/>
    </w:rPr>
  </w:style>
  <w:style w:type="paragraph" w:styleId="1097" w:customStyle="1">
    <w:name w:val="默认段落字体 Para Char Char Char Char Char Char Char"/>
    <w:basedOn w:val="667"/>
    <w:uiPriority w:val="0"/>
    <w:qFormat/>
    <w:pPr>
      <w:spacing w:line="360" w:lineRule="auto"/>
    </w:pPr>
    <w:rPr>
      <w:rFonts w:ascii="Tahoma" w:hAnsi="Tahoma"/>
      <w:sz w:val="24"/>
      <w:szCs w:val="20"/>
    </w:rPr>
  </w:style>
  <w:style w:type="paragraph" w:styleId="1098" w:customStyle="1">
    <w:name w:val="Plain Text1"/>
    <w:basedOn w:val="667"/>
    <w:uiPriority w:val="0"/>
    <w:qFormat/>
    <w:rPr>
      <w:rFonts w:hint="eastAsia" w:ascii="宋体" w:hAnsi="Courier New" w:eastAsia="楷体_GB2312"/>
      <w:sz w:val="28"/>
      <w:szCs w:val="20"/>
    </w:rPr>
  </w:style>
  <w:style w:type="paragraph" w:styleId="1099" w:customStyle="1">
    <w:name w:val="Char Char Char Char"/>
    <w:basedOn w:val="667"/>
    <w:uiPriority w:val="0"/>
    <w:qFormat/>
    <w:pPr>
      <w:ind w:firstLine="200"/>
      <w:spacing w:line="360" w:lineRule="auto"/>
    </w:pPr>
    <w:rPr>
      <w:rFonts w:ascii="Tahoma" w:hAnsi="Tahoma"/>
      <w:sz w:val="24"/>
      <w:szCs w:val="20"/>
    </w:rPr>
  </w:style>
  <w:style w:type="paragraph" w:styleId="1100" w:customStyle="1">
    <w:name w:val="默认段落字体 Para Char Char Char Char Char Char Char Char Char1 Char Char Char Char"/>
    <w:basedOn w:val="667"/>
    <w:uiPriority w:val="0"/>
    <w:qFormat/>
    <w:pPr>
      <w:jc w:val="left"/>
      <w:widowControl/>
    </w:pPr>
    <w:rPr>
      <w:rFonts w:ascii="Tahoma" w:hAnsi="Tahoma"/>
      <w:sz w:val="24"/>
      <w:szCs w:val="20"/>
    </w:rPr>
  </w:style>
  <w:style w:type="paragraph" w:styleId="1101" w:customStyle="1">
    <w:name w:val="Char"/>
    <w:basedOn w:val="686"/>
    <w:uiPriority w:val="0"/>
    <w:qFormat/>
    <w:pPr>
      <w:spacing w:line="360" w:lineRule="auto"/>
      <w:shd w:val="clear" w:color="auto" w:fill="000080"/>
    </w:pPr>
    <w:rPr>
      <w:rFonts w:ascii="Tahoma" w:hAnsi="Tahoma"/>
      <w:sz w:val="24"/>
      <w:szCs w:val="24"/>
    </w:rPr>
  </w:style>
  <w:style w:type="paragraph" w:styleId="1102" w:customStyle="1">
    <w:name w:val="Char Char Char"/>
    <w:basedOn w:val="686"/>
    <w:uiPriority w:val="0"/>
    <w:qFormat/>
    <w:pPr>
      <w:spacing w:line="360" w:lineRule="auto"/>
      <w:shd w:val="clear" w:color="auto" w:fill="000080"/>
    </w:pPr>
    <w:rPr>
      <w:rFonts w:ascii="Tahoma" w:hAnsi="Tahoma"/>
      <w:sz w:val="24"/>
      <w:szCs w:val="24"/>
    </w:rPr>
  </w:style>
  <w:style w:type="paragraph" w:styleId="1103" w:customStyle="1">
    <w:name w:val="Char Char"/>
    <w:basedOn w:val="667"/>
    <w:uiPriority w:val="0"/>
    <w:qFormat/>
    <w:pPr>
      <w:ind w:firstLine="200"/>
      <w:spacing w:line="360" w:lineRule="auto"/>
    </w:pPr>
    <w:rPr>
      <w:rFonts w:eastAsia="楷体_GB2312"/>
      <w:sz w:val="28"/>
      <w:szCs w:val="20"/>
    </w:rPr>
  </w:style>
  <w:style w:type="paragraph" w:styleId="1104" w:customStyle="1">
    <w:name w:val="Char2 Char Char Char Char Char Char Char Char Char"/>
    <w:basedOn w:val="667"/>
    <w:uiPriority w:val="0"/>
    <w:qFormat/>
    <w:pPr>
      <w:ind w:firstLine="200"/>
      <w:spacing w:line="360" w:lineRule="auto"/>
    </w:pPr>
    <w:rPr>
      <w:rFonts w:ascii="Tahoma" w:hAnsi="Tahoma"/>
      <w:sz w:val="24"/>
      <w:szCs w:val="20"/>
    </w:rPr>
  </w:style>
  <w:style w:type="paragraph" w:styleId="1105" w:customStyle="1">
    <w:name w:val="Char Char Char1 Char Char Char Char"/>
    <w:basedOn w:val="667"/>
    <w:uiPriority w:val="0"/>
    <w:qFormat/>
    <w:pPr>
      <w:jc w:val="left"/>
      <w:spacing w:after="160" w:line="240" w:lineRule="exact"/>
      <w:widowControl/>
    </w:pPr>
    <w:rPr>
      <w:sz w:val="24"/>
      <w:szCs w:val="24"/>
    </w:rPr>
  </w:style>
  <w:style w:type="paragraph" w:styleId="1106" w:customStyle="1">
    <w:name w:val="HTML 预设格式1"/>
    <w:basedOn w:val="6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07" w:customStyle="1">
    <w:name w:val="p16"/>
    <w:basedOn w:val="667"/>
    <w:uiPriority w:val="0"/>
    <w:qFormat/>
    <w:pPr>
      <w:ind w:left="420"/>
      <w:spacing w:after="120" w:line="480" w:lineRule="auto"/>
      <w:widowControl/>
    </w:pPr>
    <w:rPr>
      <w:szCs w:val="21"/>
    </w:rPr>
  </w:style>
  <w:style w:type="paragraph" w:styleId="1108" w:customStyle="1">
    <w:name w:val="1.1.1.1.1"/>
    <w:basedOn w:val="671"/>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09" w:customStyle="1">
    <w:name w:val="TOC 标题11"/>
    <w:basedOn w:val="668"/>
    <w:next w:val="667"/>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10" w:customStyle="1">
    <w:name w:val="标题2"/>
    <w:basedOn w:val="669"/>
    <w:uiPriority w:val="0"/>
    <w:qFormat/>
    <w:pPr>
      <w:spacing w:before="0" w:after="0" w:line="413" w:lineRule="auto"/>
    </w:pPr>
  </w:style>
  <w:style w:type="character" w:styleId="1111" w:customStyle="1">
    <w:name w:val="op-map-singlepoint-info-right"/>
    <w:uiPriority w:val="0"/>
    <w:qFormat/>
  </w:style>
  <w:style w:type="table" w:styleId="1112" w:customStyle="1">
    <w:name w:val="网格型2"/>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3" w:customStyle="1">
    <w:name w:val="Plain Text Char"/>
    <w:uiPriority w:val="0"/>
    <w:qFormat/>
    <w:rPr>
      <w:rFonts w:ascii="宋体" w:hAnsi="Courier New" w:eastAsia="楷体_GB2312"/>
      <w:sz w:val="26"/>
    </w:rPr>
  </w:style>
  <w:style w:type="table" w:styleId="1114" w:customStyle="1">
    <w:name w:val="网格型3"/>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5" w:customStyle="1">
    <w:name w:val="修订3"/>
    <w:hidden/>
    <w:uiPriority w:val="99"/>
    <w:unhideWhenUsed/>
    <w:qFormat/>
    <w:rPr>
      <w:rFonts w:hint="default" w:ascii="Times New Roman" w:hAnsi="Times New Roman" w:eastAsia="宋体" w:cs="Times New Roman"/>
      <w:sz w:val="21"/>
      <w:szCs w:val="22"/>
      <w:lang w:val="en-US" w:eastAsia="zh-CN" w:bidi="ar-SA"/>
    </w:rPr>
  </w:style>
  <w:style w:type="character" w:styleId="1116" w:customStyle="1">
    <w:name w:val="HTML 预设格式 字符"/>
    <w:basedOn w:val="677"/>
    <w:link w:val="719"/>
    <w:uiPriority w:val="0"/>
    <w:qFormat/>
    <w:rPr>
      <w:rFonts w:ascii="黑体" w:hAnsi="Courier New" w:eastAsia="黑体"/>
    </w:rPr>
  </w:style>
  <w:style w:type="character" w:styleId="1117" w:customStyle="1">
    <w:name w:val="正文文本首行缩进 字符"/>
    <w:basedOn w:val="922"/>
    <w:link w:val="724"/>
    <w:uiPriority w:val="0"/>
    <w:qFormat/>
    <w:rPr>
      <w:rFonts w:ascii="Times New Roman" w:hAnsi="Times New Roman" w:eastAsia="楷体_GB2312" w:cs="Times New Roman"/>
      <w:sz w:val="26"/>
      <w:szCs w:val="24"/>
    </w:rPr>
  </w:style>
  <w:style w:type="character" w:styleId="1118" w:customStyle="1">
    <w:name w:val="正文缩进 Char2"/>
    <w:uiPriority w:val="0"/>
    <w:qFormat/>
    <w:rPr>
      <w:rFonts w:eastAsia="楷体_GB2312"/>
      <w:sz w:val="24"/>
    </w:rPr>
  </w:style>
  <w:style w:type="paragraph" w:styleId="1119" w:customStyle="1">
    <w:name w:val="Char Char Char Char Char Char Char Char Char1 Char"/>
    <w:basedOn w:val="686"/>
    <w:uiPriority w:val="0"/>
    <w:qFormat/>
    <w:pPr>
      <w:spacing w:line="360" w:lineRule="auto"/>
      <w:shd w:val="clear" w:color="auto" w:fill="000080"/>
    </w:pPr>
    <w:rPr>
      <w:rFonts w:ascii="Tahoma" w:hAnsi="Tahoma"/>
      <w:sz w:val="24"/>
      <w:szCs w:val="24"/>
      <w:shd w:val="clear" w:color="auto" w:fill="000080"/>
    </w:rPr>
  </w:style>
  <w:style w:type="paragraph" w:styleId="1120" w:customStyle="1">
    <w:name w:val="xl61"/>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1" w:customStyle="1">
    <w:name w:val="xl47"/>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2" w:customStyle="1">
    <w:name w:val="xl55"/>
    <w:basedOn w:val="66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Char Char1 Char Char Char Char Char Char Char Char Char 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1124" w:customStyle="1">
    <w:name w:val="xl59"/>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5" w:customStyle="1">
    <w:name w:val="xl62"/>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6" w:customStyle="1">
    <w:name w:val="节标题"/>
    <w:basedOn w:val="667"/>
    <w:next w:val="680"/>
    <w:uiPriority w:val="0"/>
    <w:qFormat/>
    <w:pPr>
      <w:ind w:left="420" w:hanging="420"/>
      <w:spacing w:before="120" w:after="120" w:line="360" w:lineRule="exact"/>
      <w:tabs>
        <w:tab w:val="left" w:pos="420" w:leader="none"/>
      </w:tabs>
      <w:outlineLvl w:val="1"/>
    </w:pPr>
    <w:rPr>
      <w:b/>
      <w:bCs/>
      <w:sz w:val="28"/>
      <w:szCs w:val="20"/>
    </w:rPr>
  </w:style>
  <w:style w:type="paragraph" w:styleId="1127" w:customStyle="1">
    <w:name w:val="xl63"/>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8" w:customStyle="1">
    <w:name w:val="000左齐平"/>
    <w:basedOn w:val="667"/>
    <w:uiPriority w:val="0"/>
    <w:qFormat/>
    <w:pPr>
      <w:jc w:val="left"/>
    </w:pPr>
    <w:rPr>
      <w:rFonts w:eastAsia="楷体_GB2312"/>
      <w:color w:val="000000"/>
      <w:sz w:val="26"/>
      <w:szCs w:val="20"/>
    </w:rPr>
  </w:style>
  <w:style w:type="paragraph" w:styleId="1129" w:customStyle="1">
    <w:name w:val="分层标题"/>
    <w:basedOn w:val="667"/>
    <w:next w:val="680"/>
    <w:uiPriority w:val="0"/>
    <w:qFormat/>
    <w:pPr>
      <w:ind w:left="709" w:hanging="709"/>
      <w:spacing w:before="120" w:after="120" w:line="360" w:lineRule="exact"/>
      <w:tabs>
        <w:tab w:val="left" w:pos="1080" w:leader="none"/>
      </w:tabs>
      <w:outlineLvl w:val="4"/>
    </w:pPr>
    <w:rPr>
      <w:b/>
      <w:sz w:val="24"/>
      <w:szCs w:val="24"/>
    </w:rPr>
  </w:style>
  <w:style w:type="paragraph" w:styleId="1130" w:customStyle="1">
    <w:name w:val="xl50"/>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1" w:customStyle="1">
    <w:name w:val="xl52"/>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分标题"/>
    <w:basedOn w:val="667"/>
    <w:next w:val="680"/>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33" w:customStyle="1">
    <w:name w:val="首行缩进"/>
    <w:basedOn w:val="667"/>
    <w:uiPriority w:val="0"/>
    <w:qFormat/>
    <w:pPr>
      <w:ind w:firstLine="480"/>
    </w:pPr>
    <w:rPr>
      <w:rFonts w:eastAsia="楷体_GB2312"/>
      <w:sz w:val="26"/>
      <w:szCs w:val="20"/>
      <w:lang w:val="zh-CN"/>
    </w:rPr>
  </w:style>
  <w:style w:type="paragraph" w:styleId="1134" w:customStyle="1">
    <w:name w:val="xl45"/>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5" w:customStyle="1">
    <w:name w:val="xl46"/>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6" w:customStyle="1">
    <w:name w:val="+正文"/>
    <w:basedOn w:val="667"/>
    <w:uiPriority w:val="0"/>
    <w:qFormat/>
    <w:pPr>
      <w:ind w:firstLine="200"/>
      <w:spacing w:line="360" w:lineRule="auto"/>
    </w:pPr>
    <w:rPr>
      <w:sz w:val="24"/>
      <w:szCs w:val="28"/>
    </w:rPr>
  </w:style>
  <w:style w:type="paragraph" w:styleId="1137" w:customStyle="1">
    <w:name w:val="xl54"/>
    <w:basedOn w:val="6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8" w:customStyle="1">
    <w:name w:val="小四 段落 宋体 Char"/>
    <w:basedOn w:val="683"/>
    <w:uiPriority w:val="0"/>
    <w:qFormat/>
    <w:pPr>
      <w:ind w:left="0" w:right="-33" w:firstLine="480"/>
      <w:jc w:val="left"/>
      <w:spacing w:line="360" w:lineRule="auto"/>
      <w:tabs>
        <w:tab w:val="clear" w:pos="1125" w:leader="none"/>
      </w:tabs>
    </w:pPr>
    <w:rPr>
      <w:sz w:val="24"/>
    </w:rPr>
  </w:style>
  <w:style w:type="paragraph" w:styleId="1139" w:customStyle="1">
    <w:name w:val="纯文本21"/>
    <w:basedOn w:val="667"/>
    <w:uiPriority w:val="0"/>
    <w:qFormat/>
    <w:rPr>
      <w:rFonts w:ascii="宋体" w:hAnsi="Courier New" w:eastAsia="楷体_GB2312"/>
      <w:sz w:val="28"/>
      <w:szCs w:val="20"/>
    </w:rPr>
  </w:style>
  <w:style w:type="paragraph" w:styleId="1140" w:customStyle="1">
    <w:name w:val="_Style 1"/>
    <w:basedOn w:val="667"/>
    <w:uiPriority w:val="34"/>
    <w:qFormat/>
    <w:pPr>
      <w:ind w:firstLine="420"/>
    </w:pPr>
    <w:rPr>
      <w:rFonts w:ascii="Calibri" w:hAnsi="Calibri" w:eastAsia="楷体_GB2312"/>
      <w:sz w:val="26"/>
    </w:rPr>
  </w:style>
  <w:style w:type="paragraph" w:styleId="1141" w:customStyle="1">
    <w:name w:val="xl49"/>
    <w:basedOn w:val="66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2" w:customStyle="1">
    <w:name w:val="xl60"/>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Char Char1 Char Char Char Char Char Char Char"/>
    <w:basedOn w:val="667"/>
    <w:uiPriority w:val="0"/>
    <w:qFormat/>
    <w:rPr>
      <w:rFonts w:eastAsia="楷体_GB2312"/>
      <w:sz w:val="26"/>
      <w:szCs w:val="20"/>
    </w:rPr>
  </w:style>
  <w:style w:type="paragraph" w:styleId="1144"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145" w:customStyle="1">
    <w:name w:val="xl53"/>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Char Char Char Char Char Char Char"/>
    <w:basedOn w:val="667"/>
    <w:uiPriority w:val="0"/>
    <w:qFormat/>
    <w:pPr>
      <w:ind w:left="432" w:hanging="432"/>
      <w:tabs>
        <w:tab w:val="left" w:pos="432" w:leader="none"/>
      </w:tabs>
    </w:pPr>
    <w:rPr>
      <w:rFonts w:ascii="Tahoma" w:hAnsi="Tahoma"/>
      <w:sz w:val="24"/>
      <w:szCs w:val="20"/>
    </w:rPr>
  </w:style>
  <w:style w:type="paragraph" w:styleId="1147" w:customStyle="1">
    <w:name w:val="xl57"/>
    <w:basedOn w:val="6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并列样式"/>
    <w:basedOn w:val="667"/>
    <w:next w:val="667"/>
    <w:uiPriority w:val="0"/>
    <w:qFormat/>
    <w:pPr>
      <w:ind w:left="839" w:hanging="419"/>
      <w:spacing w:before="120" w:after="120" w:line="360" w:lineRule="exact"/>
      <w:tabs>
        <w:tab w:val="left" w:pos="839" w:leader="none"/>
      </w:tabs>
    </w:pPr>
    <w:rPr>
      <w:sz w:val="24"/>
      <w:szCs w:val="20"/>
    </w:rPr>
  </w:style>
  <w:style w:type="paragraph" w:styleId="1149" w:customStyle="1">
    <w:name w:val="_Style 12"/>
    <w:basedOn w:val="686"/>
    <w:uiPriority w:val="0"/>
    <w:qFormat/>
    <w:pPr>
      <w:jc w:val="left"/>
      <w:spacing w:line="360" w:lineRule="auto"/>
      <w:shd w:val="clear" w:color="auto" w:fill="000080"/>
      <w:widowControl/>
    </w:pPr>
    <w:rPr>
      <w:rFonts w:ascii="Times New Roman"/>
      <w:sz w:val="24"/>
      <w:szCs w:val="20"/>
      <w:shd w:val="clear" w:color="auto" w:fill="000080"/>
    </w:rPr>
  </w:style>
  <w:style w:type="paragraph" w:styleId="1150" w:customStyle="1">
    <w:name w:val="xl56"/>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48"/>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2" w:customStyle="1">
    <w:name w:val="小四 段落 宋体 Char Char Char Char Char Char"/>
    <w:uiPriority w:val="0"/>
    <w:qFormat/>
    <w:pPr>
      <w:ind w:firstLine="480"/>
    </w:pPr>
    <w:rPr>
      <w:rFonts w:hint="default" w:ascii="宋体" w:hAnsi="宋体" w:eastAsia="宋体" w:cs="Times New Roman"/>
      <w:lang w:val="en-US" w:eastAsia="zh-CN" w:bidi="ar-SA"/>
    </w:rPr>
  </w:style>
  <w:style w:type="paragraph" w:styleId="1153" w:customStyle="1">
    <w:name w:val="xl58"/>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xl51"/>
    <w:basedOn w:val="6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5" w:customStyle="1">
    <w:name w:val="font151"/>
    <w:uiPriority w:val="0"/>
    <w:qFormat/>
    <w:rPr>
      <w:rFonts w:hint="default" w:ascii="Times New Roman" w:hAnsi="Times New Roman" w:eastAsia="宋体" w:cs="Times New Roman"/>
      <w:color w:val="dd0806"/>
      <w:sz w:val="21"/>
      <w:szCs w:val="21"/>
      <w:u w:val="none"/>
    </w:rPr>
  </w:style>
  <w:style w:type="character" w:styleId="1156" w:customStyle="1">
    <w:name w:val="font41"/>
    <w:uiPriority w:val="0"/>
    <w:qFormat/>
    <w:rPr>
      <w:rFonts w:hint="eastAsia" w:ascii="宋体" w:hAnsi="宋体" w:eastAsia="宋体" w:cs="宋体"/>
      <w:color w:val="000000"/>
      <w:sz w:val="18"/>
      <w:szCs w:val="18"/>
      <w:u w:val="none"/>
    </w:rPr>
  </w:style>
  <w:style w:type="character" w:styleId="1157" w:customStyle="1">
    <w:name w:val="font31"/>
    <w:uiPriority w:val="0"/>
    <w:qFormat/>
    <w:rPr>
      <w:rFonts w:ascii="微软雅黑" w:hAnsi="微软雅黑" w:eastAsia="微软雅黑" w:cs="微软雅黑"/>
      <w:color w:val="000000"/>
      <w:sz w:val="21"/>
      <w:szCs w:val="21"/>
      <w:u w:val="none"/>
    </w:rPr>
  </w:style>
  <w:style w:type="character" w:styleId="1158" w:customStyle="1">
    <w:name w:val="font51"/>
    <w:uiPriority w:val="0"/>
    <w:qFormat/>
    <w:rPr>
      <w:rFonts w:hint="default" w:ascii="Times New Roman" w:hAnsi="Times New Roman" w:eastAsia="宋体" w:cs="Times New Roman"/>
      <w:color w:val="000000"/>
      <w:sz w:val="21"/>
      <w:szCs w:val="21"/>
      <w:u w:val="none"/>
    </w:rPr>
  </w:style>
  <w:style w:type="character" w:styleId="1159" w:customStyle="1">
    <w:name w:val="apple-style-span"/>
    <w:uiPriority w:val="0"/>
    <w:qFormat/>
  </w:style>
  <w:style w:type="character" w:styleId="1160" w:customStyle="1">
    <w:name w:val="font131"/>
    <w:uiPriority w:val="0"/>
    <w:qFormat/>
    <w:rPr>
      <w:rFonts w:hint="default" w:ascii="Times New Roman" w:hAnsi="Times New Roman" w:eastAsia="宋体" w:cs="Times New Roman"/>
      <w:color w:val="333333"/>
      <w:sz w:val="20"/>
      <w:szCs w:val="20"/>
      <w:u w:val="none"/>
    </w:rPr>
  </w:style>
  <w:style w:type="character" w:styleId="1161" w:customStyle="1">
    <w:name w:val="font171"/>
    <w:uiPriority w:val="0"/>
    <w:qFormat/>
    <w:rPr>
      <w:rFonts w:hint="default" w:ascii="微软雅黑" w:hAnsi="微软雅黑" w:eastAsia="微软雅黑" w:cs="微软雅黑"/>
      <w:color w:val="000000"/>
      <w:sz w:val="21"/>
      <w:szCs w:val="21"/>
      <w:u w:val="none"/>
    </w:rPr>
  </w:style>
  <w:style w:type="character" w:styleId="1162" w:customStyle="1">
    <w:name w:val="font101"/>
    <w:uiPriority w:val="0"/>
    <w:qFormat/>
    <w:rPr>
      <w:rFonts w:hint="eastAsia" w:ascii="宋体" w:hAnsi="宋体" w:eastAsia="宋体" w:cs="宋体"/>
      <w:color w:val="000000"/>
      <w:sz w:val="21"/>
      <w:szCs w:val="21"/>
      <w:u w:val="none"/>
    </w:rPr>
  </w:style>
  <w:style w:type="character" w:styleId="1163" w:customStyle="1">
    <w:name w:val="font61"/>
    <w:uiPriority w:val="0"/>
    <w:qFormat/>
    <w:rPr>
      <w:rFonts w:ascii="Batang" w:hAnsi="Batang" w:eastAsia="Batang" w:cs="Batang"/>
      <w:color w:val="000000"/>
      <w:sz w:val="21"/>
      <w:szCs w:val="21"/>
      <w:u w:val="none"/>
    </w:rPr>
  </w:style>
  <w:style w:type="character" w:styleId="1164" w:customStyle="1">
    <w:name w:val="font161"/>
    <w:uiPriority w:val="0"/>
    <w:qFormat/>
    <w:rPr>
      <w:rFonts w:hint="eastAsia" w:ascii="宋体" w:hAnsi="宋体" w:eastAsia="宋体" w:cs="宋体"/>
      <w:color w:val="333333"/>
      <w:sz w:val="20"/>
      <w:szCs w:val="20"/>
      <w:u w:val="none"/>
    </w:rPr>
  </w:style>
  <w:style w:type="character" w:styleId="1165" w:customStyle="1">
    <w:name w:val="font191"/>
    <w:uiPriority w:val="0"/>
    <w:qFormat/>
    <w:rPr>
      <w:rFonts w:hint="eastAsia" w:ascii="宋体" w:hAnsi="宋体" w:eastAsia="宋体" w:cs="宋体"/>
      <w:color w:val="000000"/>
      <w:sz w:val="21"/>
      <w:szCs w:val="21"/>
      <w:u w:val="none"/>
    </w:rPr>
  </w:style>
  <w:style w:type="character" w:styleId="1166"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67" w:customStyle="1">
    <w:name w:val="font91"/>
    <w:uiPriority w:val="0"/>
    <w:qFormat/>
    <w:rPr>
      <w:rFonts w:hint="default" w:ascii="微软雅黑" w:hAnsi="微软雅黑" w:eastAsia="微软雅黑" w:cs="微软雅黑"/>
      <w:color w:val="ff0000"/>
      <w:sz w:val="21"/>
      <w:szCs w:val="21"/>
      <w:u w:val="none"/>
    </w:rPr>
  </w:style>
  <w:style w:type="character" w:styleId="1168" w:customStyle="1">
    <w:name w:val="font01"/>
    <w:uiPriority w:val="0"/>
    <w:qFormat/>
    <w:rPr>
      <w:rFonts w:hint="eastAsia" w:ascii="宋体" w:hAnsi="宋体" w:eastAsia="宋体" w:cs="宋体"/>
      <w:color w:val="333333"/>
      <w:sz w:val="24"/>
      <w:szCs w:val="24"/>
      <w:u w:val="none"/>
    </w:rPr>
  </w:style>
  <w:style w:type="character" w:styleId="1169" w:customStyle="1">
    <w:name w:val="font81"/>
    <w:uiPriority w:val="0"/>
    <w:qFormat/>
    <w:rPr>
      <w:rFonts w:ascii="微软雅黑" w:hAnsi="微软雅黑" w:eastAsia="微软雅黑" w:cs="微软雅黑"/>
      <w:color w:val="000000"/>
      <w:sz w:val="21"/>
      <w:szCs w:val="21"/>
      <w:u w:val="none"/>
    </w:rPr>
  </w:style>
  <w:style w:type="character" w:styleId="1170"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71" w:customStyle="1">
    <w:name w:val="font71"/>
    <w:uiPriority w:val="0"/>
    <w:qFormat/>
    <w:rPr>
      <w:rFonts w:hint="default" w:ascii="Times New Roman" w:hAnsi="Times New Roman" w:eastAsia="宋体" w:cs="Times New Roman"/>
      <w:color w:val="000000"/>
      <w:sz w:val="21"/>
      <w:szCs w:val="21"/>
      <w:u w:val="none"/>
    </w:rPr>
  </w:style>
  <w:style w:type="character" w:styleId="1172"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73" w:customStyle="1">
    <w:name w:val="font121"/>
    <w:uiPriority w:val="0"/>
    <w:qFormat/>
    <w:rPr>
      <w:rFonts w:hint="default" w:ascii="微软雅黑" w:hAnsi="微软雅黑" w:eastAsia="微软雅黑" w:cs="微软雅黑"/>
      <w:color w:val="000000"/>
      <w:sz w:val="21"/>
      <w:szCs w:val="21"/>
      <w:u w:val="none"/>
    </w:rPr>
  </w:style>
  <w:style w:type="paragraph" w:styleId="1174" w:customStyle="1">
    <w:name w:val="Table Text"/>
    <w:link w:val="1175"/>
    <w:uiPriority w:val="0"/>
    <w:qFormat/>
    <w:pPr>
      <w:tabs>
        <w:tab w:val="decimal" w:pos="0" w:leader="none"/>
      </w:tabs>
    </w:pPr>
    <w:rPr>
      <w:rFonts w:hint="default" w:ascii="Arial" w:hAnsi="Arial" w:eastAsia="宋体" w:cs="Times New Roman"/>
      <w:sz w:val="21"/>
      <w:szCs w:val="21"/>
      <w:lang w:val="en-US" w:eastAsia="zh-CN" w:bidi="ar-SA"/>
    </w:rPr>
  </w:style>
  <w:style w:type="character" w:styleId="1175" w:customStyle="1">
    <w:name w:val="Table Text Char1"/>
    <w:link w:val="1174"/>
    <w:uiPriority w:val="0"/>
    <w:qFormat/>
    <w:rPr>
      <w:rFonts w:ascii="Arial" w:hAnsi="Arial"/>
      <w:sz w:val="21"/>
      <w:szCs w:val="21"/>
    </w:rPr>
  </w:style>
  <w:style w:type="paragraph" w:styleId="1176"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标题 1GM"/>
    <w:basedOn w:val="668"/>
    <w:uiPriority w:val="0"/>
    <w:qFormat/>
    <w:pPr>
      <w:ind w:left="0" w:firstLine="0"/>
      <w:spacing w:before="0" w:after="0" w:line="360" w:lineRule="auto"/>
      <w:outlineLvl w:val="1"/>
    </w:pPr>
    <w:rPr>
      <w:rFonts w:ascii="楷体" w:hAnsi="Calibri" w:eastAsia="楷体"/>
      <w:color w:val="000000"/>
      <w:sz w:val="30"/>
      <w:szCs w:val="30"/>
    </w:rPr>
  </w:style>
  <w:style w:type="paragraph" w:styleId="1178" w:customStyle="1">
    <w:name w:val="默认段落字体 Para Char Char Char Char"/>
    <w:basedOn w:val="667"/>
    <w:uiPriority w:val="0"/>
    <w:qFormat/>
    <w:rPr>
      <w:szCs w:val="24"/>
    </w:rPr>
  </w:style>
  <w:style w:type="paragraph" w:styleId="1179" w:customStyle="1">
    <w:name w:val="p17"/>
    <w:uiPriority w:val="0"/>
    <w:qFormat/>
    <w:pPr>
      <w:ind w:firstLine="420"/>
    </w:pPr>
    <w:rPr>
      <w:rFonts w:hint="default" w:ascii="宋体" w:hAnsi="Times New Roman" w:eastAsia="宋体" w:cs="宋体"/>
      <w:lang w:val="en-US" w:eastAsia="zh-CN" w:bidi="ar-SA"/>
    </w:rPr>
  </w:style>
  <w:style w:type="character" w:styleId="1180" w:customStyle="1">
    <w:name w:val="font112"/>
    <w:uiPriority w:val="0"/>
    <w:qFormat/>
    <w:rPr>
      <w:rFonts w:ascii="宋体" w:eastAsia="宋体" w:cs="宋体"/>
      <w:color w:val="000000"/>
      <w:sz w:val="18"/>
      <w:szCs w:val="18"/>
      <w:u w:val="none"/>
    </w:rPr>
  </w:style>
  <w:style w:type="paragraph" w:styleId="1181" w:customStyle="1">
    <w:name w:val="Char1"/>
    <w:basedOn w:val="667"/>
    <w:uiPriority w:val="0"/>
    <w:qFormat/>
    <w:rPr>
      <w:szCs w:val="24"/>
    </w:rPr>
  </w:style>
  <w:style w:type="paragraph" w:styleId="1182" w:customStyle="1">
    <w:name w:val="reader-word-layer reader-word-s1-1"/>
    <w:basedOn w:val="667"/>
    <w:uiPriority w:val="0"/>
    <w:qFormat/>
    <w:pPr>
      <w:jc w:val="left"/>
      <w:spacing w:before="100" w:beforeAutospacing="1" w:after="100" w:afterAutospacing="1"/>
      <w:widowControl/>
    </w:pPr>
    <w:rPr>
      <w:rFonts w:ascii="宋体" w:hAnsi="Calibri" w:cs="宋体"/>
      <w:sz w:val="24"/>
    </w:rPr>
  </w:style>
  <w:style w:type="paragraph" w:styleId="1183" w:customStyle="1">
    <w:name w:val="列出段落2"/>
    <w:basedOn w:val="667"/>
    <w:uiPriority w:val="34"/>
    <w:qFormat/>
    <w:pPr>
      <w:ind w:firstLine="200"/>
    </w:pPr>
    <w:rPr>
      <w:szCs w:val="24"/>
    </w:rPr>
  </w:style>
  <w:style w:type="paragraph" w:styleId="1184" w:customStyle="1">
    <w:name w:val="1"/>
    <w:basedOn w:val="667"/>
    <w:next w:val="1183"/>
    <w:uiPriority w:val="0"/>
    <w:qFormat/>
    <w:pPr>
      <w:ind w:firstLine="200"/>
    </w:pPr>
    <w:rPr>
      <w:szCs w:val="24"/>
    </w:rPr>
  </w:style>
  <w:style w:type="character" w:styleId="1185" w:customStyle="1">
    <w:name w:val="正文缩进 字符1"/>
    <w:uiPriority w:val="0"/>
    <w:qFormat/>
    <w:rPr>
      <w:rFonts w:ascii="Times New Roman" w:hAnsi="Times New Roman" w:eastAsia="宋体" w:cs="Times New Roman"/>
      <w:szCs w:val="24"/>
    </w:rPr>
  </w:style>
  <w:style w:type="character" w:styleId="1186" w:customStyle="1">
    <w:name w:val="Plain Text Char1"/>
    <w:uiPriority w:val="0"/>
    <w:qFormat/>
    <w:rPr>
      <w:rFonts w:ascii="宋体" w:hAnsi="Calibri"/>
      <w:sz w:val="21"/>
      <w:szCs w:val="22"/>
    </w:rPr>
  </w:style>
  <w:style w:type="paragraph" w:styleId="1187" w:customStyle="1">
    <w:name w:val="msonormal"/>
    <w:basedOn w:val="667"/>
    <w:uiPriority w:val="0"/>
    <w:qFormat/>
    <w:pPr>
      <w:jc w:val="left"/>
      <w:spacing w:before="100" w:beforeAutospacing="1" w:after="100" w:afterAutospacing="1"/>
      <w:widowControl/>
    </w:pPr>
    <w:rPr>
      <w:rFonts w:ascii="宋体" w:hAnsi="宋体" w:cs="宋体"/>
      <w:sz w:val="24"/>
      <w:szCs w:val="24"/>
    </w:rPr>
  </w:style>
  <w:style w:type="character" w:styleId="1188" w:customStyle="1">
    <w:name w:val="新正文 Char"/>
    <w:basedOn w:val="677"/>
    <w:link w:val="1189"/>
    <w:uiPriority w:val="0"/>
    <w:qFormat/>
    <w:rPr>
      <w:rFonts w:eastAsiaTheme="minorEastAsia" w:cstheme="minorBidi"/>
      <w:sz w:val="28"/>
      <w:szCs w:val="22"/>
    </w:rPr>
  </w:style>
  <w:style w:type="paragraph" w:styleId="1189" w:customStyle="1">
    <w:name w:val="新正文"/>
    <w:basedOn w:val="667"/>
    <w:link w:val="1188"/>
    <w:uiPriority w:val="0"/>
    <w:qFormat/>
    <w:pPr>
      <w:ind w:firstLine="200"/>
      <w:spacing w:line="360" w:lineRule="auto"/>
      <w:widowControl/>
    </w:pPr>
    <w:rPr>
      <w:rFonts w:eastAsiaTheme="minorEastAsia" w:cstheme="minorBidi"/>
      <w:sz w:val="28"/>
    </w:rPr>
  </w:style>
  <w:style w:type="character" w:styleId="1190" w:customStyle="1">
    <w:name w:val="段 Char"/>
    <w:link w:val="763"/>
    <w:uiPriority w:val="99"/>
    <w:qFormat/>
    <w:rPr>
      <w:rFonts w:ascii="宋体"/>
      <w:sz w:val="21"/>
    </w:rPr>
  </w:style>
  <w:style w:type="paragraph" w:styleId="1191" w:customStyle="1">
    <w:name w:val="修订4"/>
    <w:hidden/>
    <w:uiPriority w:val="99"/>
    <w:semiHidden/>
    <w:qFormat/>
    <w:rPr>
      <w:rFonts w:hint="default" w:ascii="Times New Roman" w:hAnsi="Times New Roman" w:eastAsia="宋体" w:cs="Times New Roman"/>
      <w:sz w:val="21"/>
      <w:szCs w:val="22"/>
      <w:lang w:val="en-US" w:eastAsia="zh-CN" w:bidi="ar-SA"/>
    </w:rPr>
  </w:style>
  <w:style w:type="paragraph" w:styleId="1192" w:customStyle="1">
    <w:name w:val="标题 11"/>
    <w:basedOn w:val="667"/>
    <w:next w:val="667"/>
    <w:link w:val="1193"/>
    <w:uiPriority w:val="9"/>
    <w:qFormat/>
    <w:pPr>
      <w:keepLines/>
      <w:keepNext/>
      <w:spacing w:before="480" w:after="200"/>
      <w:outlineLvl w:val="0"/>
    </w:pPr>
    <w:rPr>
      <w:rFonts w:ascii="Arial" w:hAnsi="Arial" w:eastAsia="Arial" w:cs="Arial"/>
      <w:sz w:val="40"/>
      <w:szCs w:val="40"/>
    </w:rPr>
  </w:style>
  <w:style w:type="character" w:styleId="1193" w:customStyle="1">
    <w:name w:val="Heading 1 Char"/>
    <w:basedOn w:val="677"/>
    <w:link w:val="1192"/>
    <w:uiPriority w:val="9"/>
    <w:qFormat/>
    <w:rPr>
      <w:rFonts w:ascii="Arial" w:hAnsi="Arial" w:eastAsia="Arial" w:cs="Arial"/>
      <w:sz w:val="40"/>
      <w:szCs w:val="40"/>
    </w:rPr>
  </w:style>
  <w:style w:type="character" w:styleId="1194" w:customStyle="1">
    <w:name w:val="15"/>
    <w:uiPriority w:val="0"/>
    <w:qFormat/>
    <w:rPr>
      <w:rFonts w:hint="eastAsia" w:ascii="MS Mincho" w:eastAsia="MS Mincho"/>
      <w:b/>
      <w:color w:val="000000"/>
      <w:sz w:val="20"/>
      <w:szCs w:val="20"/>
    </w:rPr>
  </w:style>
  <w:style w:type="character" w:styleId="1195" w:customStyle="1">
    <w:name w:val="NormalCharacter"/>
    <w:uiPriority w:val="0"/>
    <w:semiHidden/>
    <w:qFormat/>
  </w:style>
  <w:style w:type="paragraph" w:styleId="1196" w:customStyle="1">
    <w:name w:val="Revision"/>
    <w:hidden/>
    <w:uiPriority w:val="99"/>
    <w:unhideWhenUsed/>
    <w:qFormat/>
    <w:rPr>
      <w:rFonts w:hint="default" w:ascii="Times New Roman" w:hAnsi="Times New Roman" w:eastAsia="宋体" w:cs="Times New Roman"/>
      <w:sz w:val="21"/>
      <w:szCs w:val="22"/>
      <w:lang w:val="en-US" w:eastAsia="zh-CN" w:bidi="ar-SA"/>
    </w:rPr>
  </w:style>
  <w:style w:type="numbering" w:styleId="10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徐梓蕴</cp:lastModifiedBy>
  <cp:revision>23</cp:revision>
  <dcterms:created xsi:type="dcterms:W3CDTF">2024-03-01T11:03:00Z</dcterms:created>
  <dcterms:modified xsi:type="dcterms:W3CDTF">2026-08-06T06:20:22Z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B3CA9596EF114920B11FDB9319018586_13</vt:lpwstr>
  </property>
  <property fmtid="{D5CDD505-2E9C-101B-9397-08002B2CF9AE}" pid="4" name="KSOTemplateDocerSaveRecord">
    <vt:lpwstr>eyJoZGlkIjoiMTU1MWNiZmQ0MzlmMzVjZTg0ZWJmNjNjMjIxNWIxYzgiLCJ1c2VySWQiOiI0MTEyMTgzNzgifQ==</vt:lpwstr>
  </property>
</Properties>
</file>